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24595" w14:textId="74E279E2" w:rsidR="002A0333" w:rsidRPr="00BC0926" w:rsidRDefault="00F93601" w:rsidP="00EC7905">
      <w:pPr>
        <w:jc w:val="center"/>
        <w:rPr>
          <w:rFonts w:ascii="Arial" w:hAnsi="Arial" w:cs="Arial"/>
          <w:b/>
          <w:bCs/>
          <w:sz w:val="24"/>
          <w:szCs w:val="24"/>
        </w:rPr>
      </w:pPr>
      <w:r w:rsidRPr="00BC0926">
        <w:rPr>
          <w:rFonts w:ascii="Arial" w:hAnsi="Arial" w:cs="Arial"/>
          <w:b/>
          <w:bCs/>
          <w:sz w:val="24"/>
          <w:szCs w:val="24"/>
        </w:rPr>
        <w:t>Questions from Finance and Performance Panel – 06 September 2023</w:t>
      </w:r>
    </w:p>
    <w:p w14:paraId="2F6ABA6E" w14:textId="770FAF5B" w:rsidR="00EC7905" w:rsidRPr="00BC0926" w:rsidRDefault="00EC7905" w:rsidP="00EC7905">
      <w:pPr>
        <w:rPr>
          <w:rFonts w:ascii="Arial" w:hAnsi="Arial" w:cs="Arial"/>
          <w:sz w:val="24"/>
          <w:szCs w:val="24"/>
          <w:u w:val="single"/>
        </w:rPr>
      </w:pPr>
      <w:r w:rsidRPr="00BC0926">
        <w:rPr>
          <w:rFonts w:ascii="Arial" w:hAnsi="Arial" w:cs="Arial"/>
          <w:sz w:val="24"/>
          <w:szCs w:val="24"/>
          <w:u w:val="single"/>
        </w:rPr>
        <w:t>Questions relating to the Integrated Performance Report for Q1 2023/24</w:t>
      </w:r>
    </w:p>
    <w:tbl>
      <w:tblPr>
        <w:tblStyle w:val="TableGrid"/>
        <w:tblW w:w="0" w:type="auto"/>
        <w:tblLook w:val="04A0" w:firstRow="1" w:lastRow="0" w:firstColumn="1" w:lastColumn="0" w:noHBand="0" w:noVBand="1"/>
      </w:tblPr>
      <w:tblGrid>
        <w:gridCol w:w="4508"/>
        <w:gridCol w:w="4508"/>
      </w:tblGrid>
      <w:tr w:rsidR="00F93601" w:rsidRPr="00BC0926" w14:paraId="71457A91" w14:textId="77777777" w:rsidTr="782A0F6C">
        <w:tc>
          <w:tcPr>
            <w:tcW w:w="4508" w:type="dxa"/>
            <w:shd w:val="clear" w:color="auto" w:fill="B4C6E7" w:themeFill="accent1" w:themeFillTint="66"/>
          </w:tcPr>
          <w:p w14:paraId="25EA8184" w14:textId="0A2902CB" w:rsidR="00F93601" w:rsidRPr="00BC0926" w:rsidRDefault="00F93601">
            <w:pPr>
              <w:rPr>
                <w:rFonts w:ascii="Arial" w:hAnsi="Arial" w:cs="Arial"/>
                <w:b/>
                <w:bCs/>
                <w:sz w:val="24"/>
                <w:szCs w:val="24"/>
              </w:rPr>
            </w:pPr>
            <w:r w:rsidRPr="00BC0926">
              <w:rPr>
                <w:rFonts w:ascii="Arial" w:hAnsi="Arial" w:cs="Arial"/>
                <w:b/>
                <w:bCs/>
                <w:sz w:val="24"/>
                <w:szCs w:val="24"/>
              </w:rPr>
              <w:t>Question</w:t>
            </w:r>
          </w:p>
        </w:tc>
        <w:tc>
          <w:tcPr>
            <w:tcW w:w="4508" w:type="dxa"/>
            <w:shd w:val="clear" w:color="auto" w:fill="B4C6E7" w:themeFill="accent1" w:themeFillTint="66"/>
          </w:tcPr>
          <w:p w14:paraId="30777162" w14:textId="6D82ED5D" w:rsidR="00F93601" w:rsidRPr="00BC0926" w:rsidRDefault="00F93601">
            <w:pPr>
              <w:rPr>
                <w:rFonts w:ascii="Arial" w:hAnsi="Arial" w:cs="Arial"/>
                <w:b/>
                <w:bCs/>
                <w:sz w:val="24"/>
                <w:szCs w:val="24"/>
              </w:rPr>
            </w:pPr>
            <w:r w:rsidRPr="00BC0926">
              <w:rPr>
                <w:rFonts w:ascii="Arial" w:hAnsi="Arial" w:cs="Arial"/>
                <w:b/>
                <w:bCs/>
                <w:sz w:val="24"/>
                <w:szCs w:val="24"/>
              </w:rPr>
              <w:t>Written Response</w:t>
            </w:r>
          </w:p>
        </w:tc>
      </w:tr>
      <w:tr w:rsidR="001C1B9B" w:rsidRPr="00BC0926" w14:paraId="25C5D72B" w14:textId="77777777" w:rsidTr="782A0F6C">
        <w:tc>
          <w:tcPr>
            <w:tcW w:w="9016" w:type="dxa"/>
            <w:gridSpan w:val="2"/>
            <w:shd w:val="clear" w:color="auto" w:fill="D9E2F3" w:themeFill="accent1" w:themeFillTint="33"/>
          </w:tcPr>
          <w:p w14:paraId="256A575A" w14:textId="77777777" w:rsidR="001C1B9B" w:rsidRPr="00BC0926" w:rsidRDefault="001C1B9B">
            <w:pPr>
              <w:rPr>
                <w:rFonts w:ascii="Arial" w:hAnsi="Arial" w:cs="Arial"/>
                <w:b/>
                <w:bCs/>
                <w:sz w:val="24"/>
                <w:szCs w:val="24"/>
              </w:rPr>
            </w:pPr>
          </w:p>
          <w:p w14:paraId="7BA5E4B8" w14:textId="77777777" w:rsidR="001C1B9B" w:rsidRPr="00BC0926" w:rsidRDefault="001C1B9B">
            <w:pPr>
              <w:rPr>
                <w:rFonts w:ascii="Arial" w:hAnsi="Arial" w:cs="Arial"/>
                <w:sz w:val="24"/>
                <w:szCs w:val="24"/>
                <w:u w:val="single"/>
              </w:rPr>
            </w:pPr>
            <w:r w:rsidRPr="00BC0926">
              <w:rPr>
                <w:rFonts w:ascii="Arial" w:hAnsi="Arial" w:cs="Arial"/>
                <w:sz w:val="24"/>
                <w:szCs w:val="24"/>
                <w:u w:val="single"/>
              </w:rPr>
              <w:t>Financial Position</w:t>
            </w:r>
          </w:p>
          <w:p w14:paraId="4C459DDC" w14:textId="77777777" w:rsidR="001C1B9B" w:rsidRPr="00BC0926" w:rsidRDefault="001C1B9B">
            <w:pPr>
              <w:rPr>
                <w:rFonts w:ascii="Arial" w:hAnsi="Arial" w:cs="Arial"/>
                <w:b/>
                <w:bCs/>
                <w:sz w:val="24"/>
                <w:szCs w:val="24"/>
              </w:rPr>
            </w:pPr>
          </w:p>
        </w:tc>
      </w:tr>
      <w:tr w:rsidR="00F93601" w:rsidRPr="00BC0926" w14:paraId="6A55A81E" w14:textId="77777777" w:rsidTr="782A0F6C">
        <w:tc>
          <w:tcPr>
            <w:tcW w:w="4508" w:type="dxa"/>
          </w:tcPr>
          <w:p w14:paraId="117BEED6" w14:textId="024DFF7F" w:rsidR="00F93601" w:rsidRPr="00BC0926" w:rsidRDefault="00F93601" w:rsidP="00F93601">
            <w:pPr>
              <w:pStyle w:val="ListParagraph"/>
              <w:numPr>
                <w:ilvl w:val="0"/>
                <w:numId w:val="7"/>
              </w:numPr>
              <w:rPr>
                <w:rFonts w:ascii="Arial" w:hAnsi="Arial" w:cs="Arial"/>
                <w:sz w:val="24"/>
                <w:szCs w:val="24"/>
              </w:rPr>
            </w:pPr>
            <w:r w:rsidRPr="00BC0926">
              <w:rPr>
                <w:rFonts w:ascii="Arial" w:hAnsi="Arial" w:cs="Arial"/>
                <w:sz w:val="24"/>
                <w:szCs w:val="24"/>
              </w:rPr>
              <w:t xml:space="preserve">The report cites release of pay inflation to services (paragraph 5). A full review of pay and grading is due by 2024; is there any update on where negotiations have got to, so that these can be factored </w:t>
            </w:r>
            <w:proofErr w:type="gramStart"/>
            <w:r w:rsidRPr="00BC0926">
              <w:rPr>
                <w:rFonts w:ascii="Arial" w:hAnsi="Arial" w:cs="Arial"/>
                <w:sz w:val="24"/>
                <w:szCs w:val="24"/>
              </w:rPr>
              <w:t>in to</w:t>
            </w:r>
            <w:proofErr w:type="gramEnd"/>
            <w:r w:rsidRPr="00BC0926">
              <w:rPr>
                <w:rFonts w:ascii="Arial" w:hAnsi="Arial" w:cs="Arial"/>
                <w:sz w:val="24"/>
                <w:szCs w:val="24"/>
              </w:rPr>
              <w:t xml:space="preserve"> the Budget process for 2024/25?</w:t>
            </w:r>
          </w:p>
        </w:tc>
        <w:tc>
          <w:tcPr>
            <w:tcW w:w="4508" w:type="dxa"/>
          </w:tcPr>
          <w:p w14:paraId="5A86396B" w14:textId="287E665F" w:rsidR="001C1B9B" w:rsidRPr="00BC0926" w:rsidRDefault="3650A936" w:rsidP="5DE6DD78">
            <w:pPr>
              <w:rPr>
                <w:rFonts w:ascii="Arial" w:hAnsi="Arial" w:cs="Arial"/>
                <w:b/>
                <w:bCs/>
                <w:sz w:val="24"/>
                <w:szCs w:val="24"/>
              </w:rPr>
            </w:pPr>
            <w:r w:rsidRPr="782A0F6C">
              <w:rPr>
                <w:rFonts w:ascii="Arial" w:hAnsi="Arial" w:cs="Arial"/>
                <w:sz w:val="24"/>
                <w:szCs w:val="24"/>
              </w:rPr>
              <w:t xml:space="preserve">Management have had </w:t>
            </w:r>
            <w:proofErr w:type="gramStart"/>
            <w:r w:rsidRPr="782A0F6C">
              <w:rPr>
                <w:rFonts w:ascii="Arial" w:hAnsi="Arial" w:cs="Arial"/>
                <w:sz w:val="24"/>
                <w:szCs w:val="24"/>
              </w:rPr>
              <w:t>a number of</w:t>
            </w:r>
            <w:proofErr w:type="gramEnd"/>
            <w:r w:rsidRPr="782A0F6C">
              <w:rPr>
                <w:rFonts w:ascii="Arial" w:hAnsi="Arial" w:cs="Arial"/>
                <w:sz w:val="24"/>
                <w:szCs w:val="24"/>
              </w:rPr>
              <w:t xml:space="preserve"> discussions with the unions. The unions have tabled their request which includes </w:t>
            </w:r>
            <w:proofErr w:type="gramStart"/>
            <w:r w:rsidRPr="782A0F6C">
              <w:rPr>
                <w:rFonts w:ascii="Arial" w:hAnsi="Arial" w:cs="Arial"/>
                <w:sz w:val="24"/>
                <w:szCs w:val="24"/>
              </w:rPr>
              <w:t>a number of</w:t>
            </w:r>
            <w:proofErr w:type="gramEnd"/>
            <w:r w:rsidRPr="782A0F6C">
              <w:rPr>
                <w:rFonts w:ascii="Arial" w:hAnsi="Arial" w:cs="Arial"/>
                <w:sz w:val="24"/>
                <w:szCs w:val="24"/>
              </w:rPr>
              <w:t xml:space="preserve"> asks for additional pay, </w:t>
            </w:r>
            <w:r w:rsidR="5D1CBACC" w:rsidRPr="782A0F6C">
              <w:rPr>
                <w:rFonts w:ascii="Arial" w:hAnsi="Arial" w:cs="Arial"/>
                <w:sz w:val="24"/>
                <w:szCs w:val="24"/>
              </w:rPr>
              <w:t xml:space="preserve">holidays and allowances. Management </w:t>
            </w:r>
            <w:proofErr w:type="gramStart"/>
            <w:r w:rsidR="5D1CBACC" w:rsidRPr="782A0F6C">
              <w:rPr>
                <w:rFonts w:ascii="Arial" w:hAnsi="Arial" w:cs="Arial"/>
                <w:sz w:val="24"/>
                <w:szCs w:val="24"/>
              </w:rPr>
              <w:t>continue</w:t>
            </w:r>
            <w:proofErr w:type="gramEnd"/>
            <w:r w:rsidR="5D1CBACC" w:rsidRPr="782A0F6C">
              <w:rPr>
                <w:rFonts w:ascii="Arial" w:hAnsi="Arial" w:cs="Arial"/>
                <w:sz w:val="24"/>
                <w:szCs w:val="24"/>
              </w:rPr>
              <w:t xml:space="preserve"> to negotiate around these asks</w:t>
            </w:r>
            <w:r w:rsidR="05B38415" w:rsidRPr="782A0F6C">
              <w:rPr>
                <w:rFonts w:ascii="Arial" w:hAnsi="Arial" w:cs="Arial"/>
                <w:sz w:val="24"/>
                <w:szCs w:val="24"/>
              </w:rPr>
              <w:t>.</w:t>
            </w:r>
          </w:p>
        </w:tc>
      </w:tr>
      <w:tr w:rsidR="00F93601" w:rsidRPr="00BC0926" w14:paraId="2A55EF2B" w14:textId="77777777" w:rsidTr="782A0F6C">
        <w:tc>
          <w:tcPr>
            <w:tcW w:w="4508" w:type="dxa"/>
          </w:tcPr>
          <w:p w14:paraId="1CE4154C" w14:textId="77777777" w:rsidR="00F93601" w:rsidRPr="00F67241" w:rsidRDefault="016E0532" w:rsidP="3FA070B9">
            <w:pPr>
              <w:pStyle w:val="ListParagraph"/>
              <w:numPr>
                <w:ilvl w:val="0"/>
                <w:numId w:val="7"/>
              </w:numPr>
              <w:rPr>
                <w:rFonts w:ascii="Arial" w:hAnsi="Arial" w:cs="Arial"/>
                <w:sz w:val="24"/>
                <w:szCs w:val="24"/>
              </w:rPr>
            </w:pPr>
            <w:r w:rsidRPr="3FA070B9">
              <w:rPr>
                <w:rFonts w:ascii="Arial" w:hAnsi="Arial" w:cs="Arial"/>
                <w:sz w:val="24"/>
                <w:szCs w:val="24"/>
              </w:rPr>
              <w:t>Housing Services</w:t>
            </w:r>
          </w:p>
          <w:p w14:paraId="5A97375A" w14:textId="760A45B3" w:rsidR="00F93601" w:rsidRPr="00BC0926" w:rsidRDefault="76B217C4" w:rsidP="00F93601">
            <w:pPr>
              <w:pStyle w:val="ListParagraph"/>
              <w:numPr>
                <w:ilvl w:val="0"/>
                <w:numId w:val="8"/>
              </w:numPr>
              <w:rPr>
                <w:rFonts w:ascii="Arial" w:hAnsi="Arial" w:cs="Arial"/>
                <w:sz w:val="24"/>
                <w:szCs w:val="24"/>
              </w:rPr>
            </w:pPr>
            <w:r w:rsidRPr="3FA070B9">
              <w:rPr>
                <w:rFonts w:ascii="Arial" w:hAnsi="Arial" w:cs="Arial"/>
                <w:sz w:val="24"/>
                <w:szCs w:val="24"/>
              </w:rPr>
              <w:t>T</w:t>
            </w:r>
            <w:r w:rsidR="016E0532" w:rsidRPr="3FA070B9">
              <w:rPr>
                <w:rFonts w:ascii="Arial" w:hAnsi="Arial" w:cs="Arial"/>
                <w:sz w:val="24"/>
                <w:szCs w:val="24"/>
              </w:rPr>
              <w:t xml:space="preserve">he report (paragraph 6) only states pressures of £1m on Temporary Accommodation; are there other pressures within the Service that Members should be made aware of? </w:t>
            </w:r>
          </w:p>
          <w:p w14:paraId="2E831020" w14:textId="77777777" w:rsidR="00F93601" w:rsidRPr="00BC0926" w:rsidRDefault="016E0532" w:rsidP="00F93601">
            <w:pPr>
              <w:pStyle w:val="ListParagraph"/>
              <w:numPr>
                <w:ilvl w:val="0"/>
                <w:numId w:val="8"/>
              </w:numPr>
              <w:rPr>
                <w:rFonts w:ascii="Arial" w:hAnsi="Arial" w:cs="Arial"/>
                <w:sz w:val="24"/>
                <w:szCs w:val="24"/>
              </w:rPr>
            </w:pPr>
            <w:r w:rsidRPr="3FA070B9">
              <w:rPr>
                <w:rFonts w:ascii="Arial" w:hAnsi="Arial" w:cs="Arial"/>
                <w:sz w:val="24"/>
                <w:szCs w:val="24"/>
              </w:rPr>
              <w:t>What remedial measures are in place to address the pressures re: Temporary Accommodation?</w:t>
            </w:r>
          </w:p>
          <w:p w14:paraId="2C2A9CFC" w14:textId="77777777" w:rsidR="00F93601" w:rsidRPr="00BC0926" w:rsidRDefault="016E0532" w:rsidP="00F93601">
            <w:pPr>
              <w:pStyle w:val="ListParagraph"/>
              <w:numPr>
                <w:ilvl w:val="0"/>
                <w:numId w:val="8"/>
              </w:numPr>
              <w:rPr>
                <w:rFonts w:ascii="Arial" w:hAnsi="Arial" w:cs="Arial"/>
                <w:sz w:val="24"/>
                <w:szCs w:val="24"/>
              </w:rPr>
            </w:pPr>
            <w:r w:rsidRPr="3FA070B9">
              <w:rPr>
                <w:rFonts w:ascii="Arial" w:hAnsi="Arial" w:cs="Arial"/>
                <w:sz w:val="24"/>
                <w:szCs w:val="24"/>
              </w:rPr>
              <w:t>What are the assumptions regarding the changes making evictions easier?</w:t>
            </w:r>
          </w:p>
          <w:p w14:paraId="7A4AFA76" w14:textId="77777777" w:rsidR="00F93601" w:rsidRPr="00BC0926" w:rsidRDefault="016E0532" w:rsidP="00F93601">
            <w:pPr>
              <w:pStyle w:val="ListParagraph"/>
              <w:numPr>
                <w:ilvl w:val="0"/>
                <w:numId w:val="8"/>
              </w:numPr>
              <w:rPr>
                <w:rFonts w:ascii="Arial" w:hAnsi="Arial" w:cs="Arial"/>
                <w:sz w:val="24"/>
                <w:szCs w:val="24"/>
              </w:rPr>
            </w:pPr>
            <w:r w:rsidRPr="3FA070B9">
              <w:rPr>
                <w:rFonts w:ascii="Arial" w:hAnsi="Arial" w:cs="Arial"/>
                <w:sz w:val="24"/>
                <w:szCs w:val="24"/>
              </w:rPr>
              <w:t>How easy is it to acquire new properties?</w:t>
            </w:r>
          </w:p>
          <w:p w14:paraId="3DF0988D" w14:textId="525FB5FA" w:rsidR="00F93601" w:rsidRPr="00BC0926" w:rsidRDefault="016E0532" w:rsidP="3FA070B9">
            <w:pPr>
              <w:pStyle w:val="ListParagraph"/>
              <w:numPr>
                <w:ilvl w:val="0"/>
                <w:numId w:val="8"/>
              </w:numPr>
              <w:rPr>
                <w:rFonts w:ascii="Arial" w:hAnsi="Arial" w:cs="Arial"/>
                <w:sz w:val="24"/>
                <w:szCs w:val="24"/>
              </w:rPr>
            </w:pPr>
            <w:r w:rsidRPr="3FA070B9">
              <w:rPr>
                <w:rFonts w:ascii="Arial" w:hAnsi="Arial" w:cs="Arial"/>
                <w:sz w:val="24"/>
                <w:szCs w:val="24"/>
              </w:rPr>
              <w:t>What is the balance between outright purchases and leases?</w:t>
            </w:r>
          </w:p>
        </w:tc>
        <w:tc>
          <w:tcPr>
            <w:tcW w:w="4508" w:type="dxa"/>
          </w:tcPr>
          <w:p w14:paraId="2623F556" w14:textId="2B760EA6" w:rsidR="00F93601" w:rsidRPr="00BC0926" w:rsidRDefault="73298DA1" w:rsidP="782A0F6C">
            <w:pPr>
              <w:pStyle w:val="ListParagraph"/>
              <w:numPr>
                <w:ilvl w:val="0"/>
                <w:numId w:val="3"/>
              </w:numPr>
              <w:rPr>
                <w:rFonts w:ascii="Arial" w:eastAsia="Arial" w:hAnsi="Arial" w:cs="Arial"/>
                <w:color w:val="000000" w:themeColor="text1"/>
                <w:sz w:val="24"/>
                <w:szCs w:val="24"/>
              </w:rPr>
            </w:pPr>
            <w:r w:rsidRPr="782A0F6C">
              <w:rPr>
                <w:rFonts w:ascii="Arial" w:eastAsia="Arial" w:hAnsi="Arial" w:cs="Arial"/>
                <w:color w:val="000000" w:themeColor="text1"/>
                <w:sz w:val="24"/>
                <w:szCs w:val="24"/>
              </w:rPr>
              <w:t xml:space="preserve">At present the only significant financial pressure within Housing Needs is the Temporary Accommodation (Nightly Charge/ BnB) pressure as described in the report. There are however acute operational pressures throughout our teams delivering statutory homelessness services due to the significantly increased workloads due to the demand, but currently teams are absorbing this work, or we have managed to increase capacity on a temporary basis using </w:t>
            </w:r>
            <w:r w:rsidR="165C1EE8" w:rsidRPr="782A0F6C">
              <w:rPr>
                <w:rFonts w:ascii="Arial" w:eastAsia="Arial" w:hAnsi="Arial" w:cs="Arial"/>
                <w:color w:val="000000" w:themeColor="text1"/>
                <w:sz w:val="24"/>
                <w:szCs w:val="24"/>
              </w:rPr>
              <w:t>G</w:t>
            </w:r>
            <w:r w:rsidRPr="782A0F6C">
              <w:rPr>
                <w:rFonts w:ascii="Arial" w:eastAsia="Arial" w:hAnsi="Arial" w:cs="Arial"/>
                <w:color w:val="000000" w:themeColor="text1"/>
                <w:sz w:val="24"/>
                <w:szCs w:val="24"/>
              </w:rPr>
              <w:t>overnment grant.</w:t>
            </w:r>
          </w:p>
          <w:p w14:paraId="27EE1330" w14:textId="55676B10" w:rsidR="00F93601" w:rsidRPr="00BC0926" w:rsidRDefault="73298DA1" w:rsidP="782A0F6C">
            <w:pPr>
              <w:pStyle w:val="ListParagraph"/>
              <w:numPr>
                <w:ilvl w:val="0"/>
                <w:numId w:val="3"/>
              </w:numPr>
              <w:rPr>
                <w:rFonts w:ascii="Arial" w:eastAsia="Arial" w:hAnsi="Arial" w:cs="Arial"/>
                <w:color w:val="000000" w:themeColor="text1"/>
                <w:sz w:val="24"/>
                <w:szCs w:val="24"/>
              </w:rPr>
            </w:pPr>
            <w:proofErr w:type="gramStart"/>
            <w:r w:rsidRPr="782A0F6C">
              <w:rPr>
                <w:rFonts w:ascii="Arial" w:eastAsia="Arial" w:hAnsi="Arial" w:cs="Arial"/>
                <w:color w:val="000000" w:themeColor="text1"/>
                <w:sz w:val="24"/>
                <w:szCs w:val="24"/>
              </w:rPr>
              <w:t>A number of</w:t>
            </w:r>
            <w:proofErr w:type="gramEnd"/>
            <w:r w:rsidRPr="782A0F6C">
              <w:rPr>
                <w:rFonts w:ascii="Arial" w:eastAsia="Arial" w:hAnsi="Arial" w:cs="Arial"/>
                <w:color w:val="000000" w:themeColor="text1"/>
                <w:sz w:val="24"/>
                <w:szCs w:val="24"/>
              </w:rPr>
              <w:t xml:space="preserve"> mitigating actions are currently being pursued by the service. These include the development of a private sector leasing (PSL) scheme to increase T</w:t>
            </w:r>
            <w:r w:rsidR="0A526604" w:rsidRPr="782A0F6C">
              <w:rPr>
                <w:rFonts w:ascii="Arial" w:eastAsia="Arial" w:hAnsi="Arial" w:cs="Arial"/>
                <w:color w:val="000000" w:themeColor="text1"/>
                <w:sz w:val="24"/>
                <w:szCs w:val="24"/>
              </w:rPr>
              <w:t xml:space="preserve">emporary </w:t>
            </w:r>
            <w:r w:rsidRPr="782A0F6C">
              <w:rPr>
                <w:rFonts w:ascii="Arial" w:eastAsia="Arial" w:hAnsi="Arial" w:cs="Arial"/>
                <w:color w:val="000000" w:themeColor="text1"/>
                <w:sz w:val="24"/>
                <w:szCs w:val="24"/>
              </w:rPr>
              <w:t>A</w:t>
            </w:r>
            <w:r w:rsidR="783584EB" w:rsidRPr="782A0F6C">
              <w:rPr>
                <w:rFonts w:ascii="Arial" w:eastAsia="Arial" w:hAnsi="Arial" w:cs="Arial"/>
                <w:color w:val="000000" w:themeColor="text1"/>
                <w:sz w:val="24"/>
                <w:szCs w:val="24"/>
              </w:rPr>
              <w:t>ccommodation (TA)</w:t>
            </w:r>
            <w:r w:rsidRPr="782A0F6C">
              <w:rPr>
                <w:rFonts w:ascii="Arial" w:eastAsia="Arial" w:hAnsi="Arial" w:cs="Arial"/>
                <w:color w:val="000000" w:themeColor="text1"/>
                <w:sz w:val="24"/>
                <w:szCs w:val="24"/>
              </w:rPr>
              <w:t xml:space="preserve"> stock quickly to contain costs, measures to increase move</w:t>
            </w:r>
            <w:r w:rsidR="19041B6B" w:rsidRPr="782A0F6C">
              <w:rPr>
                <w:rFonts w:ascii="Arial" w:eastAsia="Arial" w:hAnsi="Arial" w:cs="Arial"/>
                <w:color w:val="000000" w:themeColor="text1"/>
                <w:sz w:val="24"/>
                <w:szCs w:val="24"/>
              </w:rPr>
              <w:t>-</w:t>
            </w:r>
            <w:r w:rsidRPr="782A0F6C">
              <w:rPr>
                <w:rFonts w:ascii="Arial" w:eastAsia="Arial" w:hAnsi="Arial" w:cs="Arial"/>
                <w:color w:val="000000" w:themeColor="text1"/>
                <w:sz w:val="24"/>
                <w:szCs w:val="24"/>
              </w:rPr>
              <w:t>on from TA stock into permanent housing and seeking to maximi</w:t>
            </w:r>
            <w:r w:rsidR="0D0FED94" w:rsidRPr="782A0F6C">
              <w:rPr>
                <w:rFonts w:ascii="Arial" w:eastAsia="Arial" w:hAnsi="Arial" w:cs="Arial"/>
                <w:color w:val="000000" w:themeColor="text1"/>
                <w:sz w:val="24"/>
                <w:szCs w:val="24"/>
              </w:rPr>
              <w:t>s</w:t>
            </w:r>
            <w:r w:rsidRPr="782A0F6C">
              <w:rPr>
                <w:rFonts w:ascii="Arial" w:eastAsia="Arial" w:hAnsi="Arial" w:cs="Arial"/>
                <w:color w:val="000000" w:themeColor="text1"/>
                <w:sz w:val="24"/>
                <w:szCs w:val="24"/>
              </w:rPr>
              <w:t>e homelessness prevention. The Council is also weighing up longer term options regarding the size and makeup of our TA stock to address current levels of demand.</w:t>
            </w:r>
          </w:p>
          <w:p w14:paraId="3CFA18B1" w14:textId="42CAEBAB" w:rsidR="00F93601" w:rsidRPr="00BC0926" w:rsidRDefault="73298DA1" w:rsidP="782A0F6C">
            <w:pPr>
              <w:pStyle w:val="ListParagraph"/>
              <w:numPr>
                <w:ilvl w:val="0"/>
                <w:numId w:val="3"/>
              </w:numPr>
              <w:rPr>
                <w:rFonts w:ascii="Arial" w:eastAsia="Arial" w:hAnsi="Arial" w:cs="Arial"/>
                <w:color w:val="000000" w:themeColor="text1"/>
                <w:sz w:val="24"/>
                <w:szCs w:val="24"/>
              </w:rPr>
            </w:pPr>
            <w:r w:rsidRPr="782A0F6C">
              <w:rPr>
                <w:rFonts w:ascii="Arial" w:eastAsia="Arial" w:hAnsi="Arial" w:cs="Arial"/>
                <w:color w:val="000000" w:themeColor="text1"/>
                <w:sz w:val="24"/>
                <w:szCs w:val="24"/>
              </w:rPr>
              <w:t>Consensus national</w:t>
            </w:r>
            <w:r w:rsidR="412E3546" w:rsidRPr="782A0F6C">
              <w:rPr>
                <w:rFonts w:ascii="Arial" w:eastAsia="Arial" w:hAnsi="Arial" w:cs="Arial"/>
                <w:color w:val="000000" w:themeColor="text1"/>
                <w:sz w:val="24"/>
                <w:szCs w:val="24"/>
              </w:rPr>
              <w:t>ly</w:t>
            </w:r>
            <w:r w:rsidRPr="782A0F6C">
              <w:rPr>
                <w:rFonts w:ascii="Arial" w:eastAsia="Arial" w:hAnsi="Arial" w:cs="Arial"/>
                <w:color w:val="000000" w:themeColor="text1"/>
                <w:sz w:val="24"/>
                <w:szCs w:val="24"/>
              </w:rPr>
              <w:t xml:space="preserve"> is that the main drivers of rising homelessness and TA usage are </w:t>
            </w:r>
            <w:r w:rsidRPr="782A0F6C">
              <w:rPr>
                <w:rFonts w:ascii="Arial" w:eastAsia="Arial" w:hAnsi="Arial" w:cs="Arial"/>
                <w:color w:val="000000" w:themeColor="text1"/>
                <w:sz w:val="24"/>
                <w:szCs w:val="24"/>
              </w:rPr>
              <w:lastRenderedPageBreak/>
              <w:t xml:space="preserve">due to </w:t>
            </w:r>
            <w:proofErr w:type="gramStart"/>
            <w:r w:rsidRPr="782A0F6C">
              <w:rPr>
                <w:rFonts w:ascii="Arial" w:eastAsia="Arial" w:hAnsi="Arial" w:cs="Arial"/>
                <w:color w:val="000000" w:themeColor="text1"/>
                <w:sz w:val="24"/>
                <w:szCs w:val="24"/>
              </w:rPr>
              <w:t>cost of living</w:t>
            </w:r>
            <w:proofErr w:type="gramEnd"/>
            <w:r w:rsidRPr="782A0F6C">
              <w:rPr>
                <w:rFonts w:ascii="Arial" w:eastAsia="Arial" w:hAnsi="Arial" w:cs="Arial"/>
                <w:color w:val="000000" w:themeColor="text1"/>
                <w:sz w:val="24"/>
                <w:szCs w:val="24"/>
              </w:rPr>
              <w:t xml:space="preserve"> pressures and interest rate rises, with increasing costs (in particular rising rents), alongside a frozen Local Housing Allowance which determines Housing Benefit rate, causing a crisis of unaffordability in the private rented sector and leading to evictions. This is further made worse by landlords</w:t>
            </w:r>
            <w:r w:rsidR="55010419" w:rsidRPr="782A0F6C">
              <w:rPr>
                <w:rFonts w:ascii="Arial" w:eastAsia="Arial" w:hAnsi="Arial" w:cs="Arial"/>
                <w:color w:val="000000" w:themeColor="text1"/>
                <w:sz w:val="24"/>
                <w:szCs w:val="24"/>
              </w:rPr>
              <w:t xml:space="preserve"> who are</w:t>
            </w:r>
            <w:r w:rsidRPr="782A0F6C">
              <w:rPr>
                <w:rFonts w:ascii="Arial" w:eastAsia="Arial" w:hAnsi="Arial" w:cs="Arial"/>
                <w:color w:val="000000" w:themeColor="text1"/>
                <w:sz w:val="24"/>
                <w:szCs w:val="24"/>
              </w:rPr>
              <w:t xml:space="preserve"> struggling with increasing mortgage prices leaving the market and putting up rents, further limiting supply of housing and r</w:t>
            </w:r>
            <w:r w:rsidR="53449667" w:rsidRPr="782A0F6C">
              <w:rPr>
                <w:rFonts w:ascii="Arial" w:eastAsia="Arial" w:hAnsi="Arial" w:cs="Arial"/>
                <w:color w:val="000000" w:themeColor="text1"/>
                <w:sz w:val="24"/>
                <w:szCs w:val="24"/>
              </w:rPr>
              <w:t xml:space="preserve">aising </w:t>
            </w:r>
            <w:r w:rsidRPr="782A0F6C">
              <w:rPr>
                <w:rFonts w:ascii="Arial" w:eastAsia="Arial" w:hAnsi="Arial" w:cs="Arial"/>
                <w:color w:val="000000" w:themeColor="text1"/>
                <w:sz w:val="24"/>
                <w:szCs w:val="24"/>
              </w:rPr>
              <w:t>prices. Locally, our data supports this picture. We have seen significant increas</w:t>
            </w:r>
            <w:r w:rsidR="53EF6534" w:rsidRPr="782A0F6C">
              <w:rPr>
                <w:rFonts w:ascii="Arial" w:eastAsia="Arial" w:hAnsi="Arial" w:cs="Arial"/>
                <w:color w:val="000000" w:themeColor="text1"/>
                <w:sz w:val="24"/>
                <w:szCs w:val="24"/>
              </w:rPr>
              <w:t>es</w:t>
            </w:r>
            <w:r w:rsidRPr="782A0F6C">
              <w:rPr>
                <w:rFonts w:ascii="Arial" w:eastAsia="Arial" w:hAnsi="Arial" w:cs="Arial"/>
                <w:color w:val="000000" w:themeColor="text1"/>
                <w:sz w:val="24"/>
                <w:szCs w:val="24"/>
              </w:rPr>
              <w:t xml:space="preserve"> in presentation from the main four groups we support with homelessness: </w:t>
            </w:r>
            <w:r w:rsidR="7CA553B1" w:rsidRPr="782A0F6C">
              <w:rPr>
                <w:rFonts w:ascii="Arial" w:eastAsia="Arial" w:hAnsi="Arial" w:cs="Arial"/>
                <w:color w:val="000000" w:themeColor="text1"/>
                <w:sz w:val="24"/>
                <w:szCs w:val="24"/>
              </w:rPr>
              <w:t>Private</w:t>
            </w:r>
            <w:r w:rsidR="3AE7B5FE" w:rsidRPr="782A0F6C">
              <w:rPr>
                <w:rFonts w:ascii="Arial" w:eastAsia="Arial" w:hAnsi="Arial" w:cs="Arial"/>
                <w:color w:val="000000" w:themeColor="text1"/>
                <w:sz w:val="24"/>
                <w:szCs w:val="24"/>
              </w:rPr>
              <w:t xml:space="preserve"> </w:t>
            </w:r>
            <w:r w:rsidRPr="782A0F6C">
              <w:rPr>
                <w:rFonts w:ascii="Arial" w:eastAsia="Arial" w:hAnsi="Arial" w:cs="Arial"/>
                <w:color w:val="000000" w:themeColor="text1"/>
                <w:sz w:val="24"/>
                <w:szCs w:val="24"/>
              </w:rPr>
              <w:t>R</w:t>
            </w:r>
            <w:r w:rsidR="5F6BFF9F" w:rsidRPr="782A0F6C">
              <w:rPr>
                <w:rFonts w:ascii="Arial" w:eastAsia="Arial" w:hAnsi="Arial" w:cs="Arial"/>
                <w:color w:val="000000" w:themeColor="text1"/>
                <w:sz w:val="24"/>
                <w:szCs w:val="24"/>
              </w:rPr>
              <w:t xml:space="preserve">ented </w:t>
            </w:r>
            <w:r w:rsidRPr="782A0F6C">
              <w:rPr>
                <w:rFonts w:ascii="Arial" w:eastAsia="Arial" w:hAnsi="Arial" w:cs="Arial"/>
                <w:color w:val="000000" w:themeColor="text1"/>
                <w:sz w:val="24"/>
                <w:szCs w:val="24"/>
              </w:rPr>
              <w:t>S</w:t>
            </w:r>
            <w:r w:rsidR="4D06F2B4" w:rsidRPr="782A0F6C">
              <w:rPr>
                <w:rFonts w:ascii="Arial" w:eastAsia="Arial" w:hAnsi="Arial" w:cs="Arial"/>
                <w:color w:val="000000" w:themeColor="text1"/>
                <w:sz w:val="24"/>
                <w:szCs w:val="24"/>
              </w:rPr>
              <w:t>ector (PRS)</w:t>
            </w:r>
            <w:r w:rsidRPr="782A0F6C">
              <w:rPr>
                <w:rFonts w:ascii="Arial" w:eastAsia="Arial" w:hAnsi="Arial" w:cs="Arial"/>
                <w:color w:val="000000" w:themeColor="text1"/>
                <w:sz w:val="24"/>
                <w:szCs w:val="24"/>
              </w:rPr>
              <w:t xml:space="preserve"> eviction, </w:t>
            </w:r>
            <w:r w:rsidR="3C2E48E3" w:rsidRPr="782A0F6C">
              <w:rPr>
                <w:rFonts w:ascii="Arial" w:eastAsia="Arial" w:hAnsi="Arial" w:cs="Arial"/>
                <w:color w:val="000000" w:themeColor="text1"/>
                <w:sz w:val="24"/>
                <w:szCs w:val="24"/>
              </w:rPr>
              <w:t>f</w:t>
            </w:r>
            <w:r w:rsidRPr="782A0F6C">
              <w:rPr>
                <w:rFonts w:ascii="Arial" w:eastAsia="Arial" w:hAnsi="Arial" w:cs="Arial"/>
                <w:color w:val="000000" w:themeColor="text1"/>
                <w:sz w:val="24"/>
                <w:szCs w:val="24"/>
              </w:rPr>
              <w:t xml:space="preserve">amily/friend eviction, Domestic </w:t>
            </w:r>
            <w:proofErr w:type="gramStart"/>
            <w:r w:rsidRPr="782A0F6C">
              <w:rPr>
                <w:rFonts w:ascii="Arial" w:eastAsia="Arial" w:hAnsi="Arial" w:cs="Arial"/>
                <w:color w:val="000000" w:themeColor="text1"/>
                <w:sz w:val="24"/>
                <w:szCs w:val="24"/>
              </w:rPr>
              <w:t>Abuse</w:t>
            </w:r>
            <w:proofErr w:type="gramEnd"/>
            <w:r w:rsidRPr="782A0F6C">
              <w:rPr>
                <w:rFonts w:ascii="Arial" w:eastAsia="Arial" w:hAnsi="Arial" w:cs="Arial"/>
                <w:color w:val="000000" w:themeColor="text1"/>
                <w:sz w:val="24"/>
                <w:szCs w:val="24"/>
              </w:rPr>
              <w:t xml:space="preserve"> and eviction from supported accommodation.</w:t>
            </w:r>
          </w:p>
          <w:p w14:paraId="522B6B5A" w14:textId="0C2C52DF" w:rsidR="00F93601" w:rsidRPr="00BC0926" w:rsidRDefault="73298DA1" w:rsidP="782A0F6C">
            <w:pPr>
              <w:pStyle w:val="ListParagraph"/>
              <w:numPr>
                <w:ilvl w:val="0"/>
                <w:numId w:val="3"/>
              </w:numPr>
              <w:rPr>
                <w:rFonts w:ascii="Arial" w:eastAsia="Arial" w:hAnsi="Arial" w:cs="Arial"/>
                <w:color w:val="000000" w:themeColor="text1"/>
                <w:sz w:val="24"/>
                <w:szCs w:val="24"/>
              </w:rPr>
            </w:pPr>
            <w:r w:rsidRPr="782A0F6C">
              <w:rPr>
                <w:rFonts w:ascii="Arial" w:eastAsia="Arial" w:hAnsi="Arial" w:cs="Arial"/>
                <w:color w:val="000000" w:themeColor="text1"/>
                <w:sz w:val="24"/>
                <w:szCs w:val="24"/>
              </w:rPr>
              <w:t xml:space="preserve">It would depend on what type of accommodation we are seeking to acquire. Having spoken to some landlords, </w:t>
            </w:r>
            <w:r w:rsidR="1CEE450B" w:rsidRPr="782A0F6C">
              <w:rPr>
                <w:rFonts w:ascii="Arial" w:eastAsia="Arial" w:hAnsi="Arial" w:cs="Arial"/>
                <w:color w:val="000000" w:themeColor="text1"/>
                <w:sz w:val="24"/>
                <w:szCs w:val="24"/>
              </w:rPr>
              <w:t>o</w:t>
            </w:r>
            <w:r w:rsidRPr="782A0F6C">
              <w:rPr>
                <w:rFonts w:ascii="Arial" w:eastAsia="Arial" w:hAnsi="Arial" w:cs="Arial"/>
                <w:color w:val="000000" w:themeColor="text1"/>
                <w:sz w:val="24"/>
                <w:szCs w:val="24"/>
              </w:rPr>
              <w:t>fficers have a level of confidence that we can source sufficient HMO properties to establish a PSL model relatively quickly, to replace some hotel use.</w:t>
            </w:r>
          </w:p>
          <w:p w14:paraId="52192965" w14:textId="7279DF35" w:rsidR="00F93601" w:rsidRPr="00BC0926" w:rsidRDefault="73298DA1" w:rsidP="782A0F6C">
            <w:pPr>
              <w:pStyle w:val="ListParagraph"/>
              <w:numPr>
                <w:ilvl w:val="0"/>
                <w:numId w:val="3"/>
              </w:numPr>
              <w:rPr>
                <w:rFonts w:ascii="Arial" w:eastAsia="Arial" w:hAnsi="Arial" w:cs="Arial"/>
                <w:sz w:val="24"/>
                <w:szCs w:val="24"/>
              </w:rPr>
            </w:pPr>
            <w:r w:rsidRPr="782A0F6C">
              <w:rPr>
                <w:rFonts w:ascii="Arial" w:eastAsia="Arial" w:hAnsi="Arial" w:cs="Arial"/>
                <w:color w:val="000000" w:themeColor="text1"/>
                <w:sz w:val="24"/>
                <w:szCs w:val="24"/>
              </w:rPr>
              <w:t xml:space="preserve">The current </w:t>
            </w:r>
            <w:proofErr w:type="gramStart"/>
            <w:r w:rsidRPr="782A0F6C">
              <w:rPr>
                <w:rFonts w:ascii="Arial" w:eastAsia="Arial" w:hAnsi="Arial" w:cs="Arial"/>
                <w:color w:val="000000" w:themeColor="text1"/>
                <w:sz w:val="24"/>
                <w:szCs w:val="24"/>
              </w:rPr>
              <w:t>make</w:t>
            </w:r>
            <w:proofErr w:type="gramEnd"/>
            <w:r w:rsidRPr="782A0F6C">
              <w:rPr>
                <w:rFonts w:ascii="Arial" w:eastAsia="Arial" w:hAnsi="Arial" w:cs="Arial"/>
                <w:color w:val="000000" w:themeColor="text1"/>
                <w:sz w:val="24"/>
                <w:szCs w:val="24"/>
              </w:rPr>
              <w:t xml:space="preserve"> up of our TA stock is 100% owned in</w:t>
            </w:r>
            <w:r w:rsidR="5BD76A02" w:rsidRPr="782A0F6C">
              <w:rPr>
                <w:rFonts w:ascii="Arial" w:eastAsia="Arial" w:hAnsi="Arial" w:cs="Arial"/>
                <w:color w:val="000000" w:themeColor="text1"/>
                <w:sz w:val="24"/>
                <w:szCs w:val="24"/>
              </w:rPr>
              <w:t>-</w:t>
            </w:r>
            <w:r w:rsidRPr="782A0F6C">
              <w:rPr>
                <w:rFonts w:ascii="Arial" w:eastAsia="Arial" w:hAnsi="Arial" w:cs="Arial"/>
                <w:color w:val="000000" w:themeColor="text1"/>
                <w:sz w:val="24"/>
                <w:szCs w:val="24"/>
              </w:rPr>
              <w:t xml:space="preserve">house by either the HRA or </w:t>
            </w:r>
            <w:r w:rsidR="11AE05DA" w:rsidRPr="782A0F6C">
              <w:rPr>
                <w:rFonts w:ascii="Arial" w:eastAsia="Arial" w:hAnsi="Arial" w:cs="Arial"/>
                <w:color w:val="000000" w:themeColor="text1"/>
                <w:sz w:val="24"/>
                <w:szCs w:val="24"/>
              </w:rPr>
              <w:t>G</w:t>
            </w:r>
            <w:r w:rsidRPr="782A0F6C">
              <w:rPr>
                <w:rFonts w:ascii="Arial" w:eastAsia="Arial" w:hAnsi="Arial" w:cs="Arial"/>
                <w:color w:val="000000" w:themeColor="text1"/>
                <w:sz w:val="24"/>
                <w:szCs w:val="24"/>
              </w:rPr>
              <w:t xml:space="preserve">eneral </w:t>
            </w:r>
            <w:r w:rsidR="62663F54" w:rsidRPr="782A0F6C">
              <w:rPr>
                <w:rFonts w:ascii="Arial" w:eastAsia="Arial" w:hAnsi="Arial" w:cs="Arial"/>
                <w:color w:val="000000" w:themeColor="text1"/>
                <w:sz w:val="24"/>
                <w:szCs w:val="24"/>
              </w:rPr>
              <w:t>F</w:t>
            </w:r>
            <w:r w:rsidRPr="782A0F6C">
              <w:rPr>
                <w:rFonts w:ascii="Arial" w:eastAsia="Arial" w:hAnsi="Arial" w:cs="Arial"/>
                <w:color w:val="000000" w:themeColor="text1"/>
                <w:sz w:val="24"/>
                <w:szCs w:val="24"/>
              </w:rPr>
              <w:t>und, with those households needing TA when we have no voids placed into hotels while they wait. We have no leases with private landlords at present. We are proposing to now add to our stock by establishing a PSL model.</w:t>
            </w:r>
          </w:p>
        </w:tc>
      </w:tr>
      <w:tr w:rsidR="00F93601" w:rsidRPr="00BC0926" w14:paraId="1E300EC5" w14:textId="77777777" w:rsidTr="782A0F6C">
        <w:tc>
          <w:tcPr>
            <w:tcW w:w="4508" w:type="dxa"/>
          </w:tcPr>
          <w:p w14:paraId="2C7F5973" w14:textId="77777777" w:rsidR="00F93601" w:rsidRPr="00F67241" w:rsidRDefault="016E0532" w:rsidP="00F93601">
            <w:pPr>
              <w:pStyle w:val="ListParagraph"/>
              <w:numPr>
                <w:ilvl w:val="0"/>
                <w:numId w:val="7"/>
              </w:numPr>
              <w:rPr>
                <w:rFonts w:ascii="Arial" w:hAnsi="Arial" w:cs="Arial"/>
                <w:b/>
                <w:bCs/>
                <w:sz w:val="24"/>
                <w:szCs w:val="24"/>
              </w:rPr>
            </w:pPr>
            <w:r w:rsidRPr="3FA070B9">
              <w:rPr>
                <w:rFonts w:ascii="Arial" w:hAnsi="Arial" w:cs="Arial"/>
                <w:b/>
                <w:bCs/>
                <w:sz w:val="24"/>
                <w:szCs w:val="24"/>
              </w:rPr>
              <w:lastRenderedPageBreak/>
              <w:t xml:space="preserve">Community Services </w:t>
            </w:r>
          </w:p>
          <w:p w14:paraId="622AA5DB" w14:textId="77777777" w:rsidR="00F93601" w:rsidRPr="00BC0926" w:rsidRDefault="00F93601" w:rsidP="00F93601">
            <w:pPr>
              <w:pStyle w:val="ListParagraph"/>
              <w:numPr>
                <w:ilvl w:val="0"/>
                <w:numId w:val="10"/>
              </w:numPr>
              <w:rPr>
                <w:rFonts w:ascii="Arial" w:hAnsi="Arial" w:cs="Arial"/>
                <w:sz w:val="24"/>
                <w:szCs w:val="24"/>
              </w:rPr>
            </w:pPr>
            <w:r w:rsidRPr="558A5991">
              <w:rPr>
                <w:rFonts w:ascii="Arial" w:hAnsi="Arial" w:cs="Arial"/>
                <w:sz w:val="24"/>
                <w:szCs w:val="24"/>
              </w:rPr>
              <w:t xml:space="preserve">Is it anticipated that shortfall in income </w:t>
            </w:r>
            <w:r w:rsidRPr="558A5991">
              <w:rPr>
                <w:rFonts w:ascii="Arial" w:eastAsia="Times New Roman" w:hAnsi="Arial" w:cs="Arial"/>
                <w:sz w:val="24"/>
                <w:szCs w:val="24"/>
                <w:lang w:eastAsia="en-GB"/>
              </w:rPr>
              <w:t>for the Events team will be the new norm (</w:t>
            </w:r>
            <w:proofErr w:type="gramStart"/>
            <w:r w:rsidRPr="558A5991">
              <w:rPr>
                <w:rFonts w:ascii="Arial" w:eastAsia="Times New Roman" w:hAnsi="Arial" w:cs="Arial"/>
                <w:sz w:val="24"/>
                <w:szCs w:val="24"/>
                <w:lang w:eastAsia="en-GB"/>
              </w:rPr>
              <w:t>i.e.</w:t>
            </w:r>
            <w:proofErr w:type="gramEnd"/>
            <w:r w:rsidRPr="558A5991">
              <w:rPr>
                <w:rFonts w:ascii="Arial" w:eastAsia="Times New Roman" w:hAnsi="Arial" w:cs="Arial"/>
                <w:sz w:val="24"/>
                <w:szCs w:val="24"/>
                <w:lang w:eastAsia="en-GB"/>
              </w:rPr>
              <w:t xml:space="preserve"> will it ever go back to pre-COVID levels)?</w:t>
            </w:r>
          </w:p>
          <w:p w14:paraId="29B3B8E2" w14:textId="0F583BC4" w:rsidR="00F93601" w:rsidRPr="00BC0926" w:rsidRDefault="00F93601" w:rsidP="558A5991">
            <w:pPr>
              <w:pStyle w:val="ListParagraph"/>
              <w:numPr>
                <w:ilvl w:val="0"/>
                <w:numId w:val="10"/>
              </w:numPr>
              <w:rPr>
                <w:rFonts w:ascii="Arial" w:hAnsi="Arial" w:cs="Arial"/>
                <w:sz w:val="24"/>
                <w:szCs w:val="24"/>
              </w:rPr>
            </w:pPr>
            <w:r w:rsidRPr="558A5991">
              <w:rPr>
                <w:rFonts w:ascii="Arial" w:hAnsi="Arial" w:cs="Arial"/>
                <w:sz w:val="24"/>
                <w:szCs w:val="24"/>
              </w:rPr>
              <w:lastRenderedPageBreak/>
              <w:t>Do the figures include benefits from the investment in renewable energy at Leisure Centres?</w:t>
            </w:r>
          </w:p>
        </w:tc>
        <w:tc>
          <w:tcPr>
            <w:tcW w:w="4508" w:type="dxa"/>
          </w:tcPr>
          <w:p w14:paraId="77A2EBC8" w14:textId="2443FBEB" w:rsidR="7DD22617" w:rsidRDefault="7DD22617" w:rsidP="3FA070B9">
            <w:pPr>
              <w:pStyle w:val="ListParagraph"/>
              <w:numPr>
                <w:ilvl w:val="0"/>
                <w:numId w:val="2"/>
              </w:numPr>
              <w:rPr>
                <w:rFonts w:ascii="Arial" w:eastAsia="Arial" w:hAnsi="Arial" w:cs="Arial"/>
                <w:color w:val="000000" w:themeColor="text1"/>
                <w:sz w:val="24"/>
                <w:szCs w:val="24"/>
              </w:rPr>
            </w:pPr>
            <w:r w:rsidRPr="3FA070B9">
              <w:rPr>
                <w:rFonts w:ascii="Arial" w:eastAsia="Arial" w:hAnsi="Arial" w:cs="Arial"/>
                <w:color w:val="000000" w:themeColor="text1"/>
                <w:sz w:val="24"/>
                <w:szCs w:val="24"/>
              </w:rPr>
              <w:lastRenderedPageBreak/>
              <w:t xml:space="preserve">The events industry is slowly recovering following the impact of the pandemic and income is gradually increasing. Whilst we would expect that to return to pre-pandemic levels in due </w:t>
            </w:r>
            <w:r w:rsidRPr="3FA070B9">
              <w:rPr>
                <w:rFonts w:ascii="Arial" w:eastAsia="Arial" w:hAnsi="Arial" w:cs="Arial"/>
                <w:color w:val="000000" w:themeColor="text1"/>
                <w:sz w:val="24"/>
                <w:szCs w:val="24"/>
              </w:rPr>
              <w:lastRenderedPageBreak/>
              <w:t>course, commercial events (</w:t>
            </w:r>
            <w:proofErr w:type="gramStart"/>
            <w:r w:rsidRPr="3FA070B9">
              <w:rPr>
                <w:rFonts w:ascii="Arial" w:eastAsia="Arial" w:hAnsi="Arial" w:cs="Arial"/>
                <w:color w:val="000000" w:themeColor="text1"/>
                <w:sz w:val="24"/>
                <w:szCs w:val="24"/>
              </w:rPr>
              <w:t>e.g.</w:t>
            </w:r>
            <w:proofErr w:type="gramEnd"/>
            <w:r w:rsidRPr="3FA070B9">
              <w:rPr>
                <w:rFonts w:ascii="Arial" w:eastAsia="Arial" w:hAnsi="Arial" w:cs="Arial"/>
                <w:color w:val="000000" w:themeColor="text1"/>
                <w:sz w:val="24"/>
                <w:szCs w:val="24"/>
              </w:rPr>
              <w:t xml:space="preserve"> market testing) are less likely to return as their sales model has changed to be more digitally driven.</w:t>
            </w:r>
          </w:p>
          <w:p w14:paraId="6EC888AC" w14:textId="529A1CD5" w:rsidR="00F93601" w:rsidRPr="00BC0926" w:rsidRDefault="70CBF829" w:rsidP="3FA070B9">
            <w:pPr>
              <w:pStyle w:val="ListParagraph"/>
              <w:numPr>
                <w:ilvl w:val="0"/>
                <w:numId w:val="2"/>
              </w:numPr>
              <w:rPr>
                <w:rFonts w:ascii="Arial" w:eastAsia="Arial" w:hAnsi="Arial" w:cs="Arial"/>
                <w:sz w:val="24"/>
                <w:szCs w:val="24"/>
              </w:rPr>
            </w:pPr>
            <w:r w:rsidRPr="782A0F6C">
              <w:rPr>
                <w:rFonts w:ascii="Arial" w:eastAsia="Arial" w:hAnsi="Arial" w:cs="Arial"/>
                <w:sz w:val="24"/>
                <w:szCs w:val="24"/>
              </w:rPr>
              <w:t>The forecast figures are starting to build in the reductions seen in usage following the renewable energy work</w:t>
            </w:r>
            <w:r w:rsidR="44BF6B45" w:rsidRPr="782A0F6C">
              <w:rPr>
                <w:rFonts w:ascii="Arial" w:eastAsia="Arial" w:hAnsi="Arial" w:cs="Arial"/>
                <w:sz w:val="24"/>
                <w:szCs w:val="24"/>
              </w:rPr>
              <w:t>.</w:t>
            </w:r>
          </w:p>
        </w:tc>
      </w:tr>
      <w:tr w:rsidR="00F93601" w:rsidRPr="00BC0926" w14:paraId="4D8B2322" w14:textId="77777777" w:rsidTr="782A0F6C">
        <w:tc>
          <w:tcPr>
            <w:tcW w:w="4508" w:type="dxa"/>
          </w:tcPr>
          <w:p w14:paraId="41A15DC6" w14:textId="77777777" w:rsidR="00F93601" w:rsidRPr="00F67241" w:rsidRDefault="1E0BD92B" w:rsidP="001C73C3">
            <w:pPr>
              <w:pStyle w:val="ListParagraph"/>
              <w:numPr>
                <w:ilvl w:val="0"/>
                <w:numId w:val="7"/>
              </w:numPr>
              <w:rPr>
                <w:rFonts w:ascii="Arial" w:hAnsi="Arial" w:cs="Arial"/>
                <w:b/>
                <w:bCs/>
                <w:sz w:val="24"/>
                <w:szCs w:val="24"/>
              </w:rPr>
            </w:pPr>
            <w:r w:rsidRPr="3FA070B9">
              <w:rPr>
                <w:rFonts w:ascii="Arial" w:hAnsi="Arial" w:cs="Arial"/>
                <w:b/>
                <w:bCs/>
                <w:sz w:val="24"/>
                <w:szCs w:val="24"/>
              </w:rPr>
              <w:lastRenderedPageBreak/>
              <w:t>Corporate Property</w:t>
            </w:r>
          </w:p>
          <w:p w14:paraId="13C861AE" w14:textId="77777777" w:rsidR="001C73C3" w:rsidRPr="00BC0926" w:rsidRDefault="001C73C3" w:rsidP="001C73C3">
            <w:pPr>
              <w:pStyle w:val="ListParagraph"/>
              <w:numPr>
                <w:ilvl w:val="0"/>
                <w:numId w:val="11"/>
              </w:numPr>
              <w:rPr>
                <w:rFonts w:ascii="Arial" w:hAnsi="Arial" w:cs="Arial"/>
                <w:sz w:val="24"/>
                <w:szCs w:val="24"/>
              </w:rPr>
            </w:pPr>
            <w:r w:rsidRPr="00BC0926">
              <w:rPr>
                <w:rFonts w:ascii="Arial" w:hAnsi="Arial" w:cs="Arial"/>
                <w:sz w:val="24"/>
                <w:szCs w:val="24"/>
              </w:rPr>
              <w:t xml:space="preserve">The report says a tenant for St Aldate’s Chambers has now been found; has all paperwork etc. been completed </w:t>
            </w:r>
            <w:proofErr w:type="gramStart"/>
            <w:r w:rsidRPr="00BC0926">
              <w:rPr>
                <w:rFonts w:ascii="Arial" w:hAnsi="Arial" w:cs="Arial"/>
                <w:sz w:val="24"/>
                <w:szCs w:val="24"/>
              </w:rPr>
              <w:t>i.e.</w:t>
            </w:r>
            <w:proofErr w:type="gramEnd"/>
            <w:r w:rsidRPr="00BC0926">
              <w:rPr>
                <w:rFonts w:ascii="Arial" w:hAnsi="Arial" w:cs="Arial"/>
                <w:sz w:val="24"/>
                <w:szCs w:val="24"/>
              </w:rPr>
              <w:t xml:space="preserve"> are they paying rent now?</w:t>
            </w:r>
          </w:p>
          <w:p w14:paraId="407AF550" w14:textId="77777777" w:rsidR="001C73C3" w:rsidRPr="00BC0926" w:rsidRDefault="001C73C3" w:rsidP="001C73C3">
            <w:pPr>
              <w:pStyle w:val="ListParagraph"/>
              <w:numPr>
                <w:ilvl w:val="0"/>
                <w:numId w:val="11"/>
              </w:numPr>
              <w:rPr>
                <w:rFonts w:ascii="Arial" w:hAnsi="Arial" w:cs="Arial"/>
                <w:sz w:val="24"/>
                <w:szCs w:val="24"/>
              </w:rPr>
            </w:pPr>
            <w:r w:rsidRPr="00BC0926">
              <w:rPr>
                <w:rFonts w:ascii="Arial" w:hAnsi="Arial" w:cs="Arial"/>
                <w:sz w:val="24"/>
                <w:szCs w:val="24"/>
              </w:rPr>
              <w:t>Where is Cadogan House?</w:t>
            </w:r>
          </w:p>
          <w:p w14:paraId="19218270" w14:textId="16DA7A1F" w:rsidR="001C73C3" w:rsidRPr="00BC0926" w:rsidRDefault="001C73C3" w:rsidP="558A5991">
            <w:pPr>
              <w:pStyle w:val="ListParagraph"/>
              <w:numPr>
                <w:ilvl w:val="0"/>
                <w:numId w:val="11"/>
              </w:numPr>
              <w:rPr>
                <w:rFonts w:ascii="Arial" w:hAnsi="Arial" w:cs="Arial"/>
                <w:sz w:val="24"/>
                <w:szCs w:val="24"/>
              </w:rPr>
            </w:pPr>
            <w:r w:rsidRPr="558A5991">
              <w:rPr>
                <w:rFonts w:ascii="Arial" w:hAnsi="Arial" w:cs="Arial"/>
                <w:sz w:val="24"/>
                <w:szCs w:val="24"/>
              </w:rPr>
              <w:t xml:space="preserve">What is the status of the empty Ramsay House in St </w:t>
            </w:r>
            <w:proofErr w:type="spellStart"/>
            <w:r w:rsidRPr="558A5991">
              <w:rPr>
                <w:rFonts w:ascii="Arial" w:hAnsi="Arial" w:cs="Arial"/>
                <w:sz w:val="24"/>
                <w:szCs w:val="24"/>
              </w:rPr>
              <w:t>Ebbe’s</w:t>
            </w:r>
            <w:proofErr w:type="spellEnd"/>
            <w:r w:rsidRPr="558A5991">
              <w:rPr>
                <w:rFonts w:ascii="Arial" w:hAnsi="Arial" w:cs="Arial"/>
                <w:sz w:val="24"/>
                <w:szCs w:val="24"/>
              </w:rPr>
              <w:t xml:space="preserve"> Street?</w:t>
            </w:r>
          </w:p>
        </w:tc>
        <w:tc>
          <w:tcPr>
            <w:tcW w:w="4508" w:type="dxa"/>
          </w:tcPr>
          <w:p w14:paraId="4D01F224" w14:textId="6F974928" w:rsidR="00F93601" w:rsidRPr="00BB728E" w:rsidRDefault="51C188A9" w:rsidP="00BB728E">
            <w:pPr>
              <w:pStyle w:val="ListParagraph"/>
              <w:numPr>
                <w:ilvl w:val="0"/>
                <w:numId w:val="5"/>
              </w:numPr>
              <w:rPr>
                <w:rFonts w:ascii="Arial" w:hAnsi="Arial" w:cs="Arial"/>
                <w:sz w:val="24"/>
                <w:szCs w:val="24"/>
              </w:rPr>
            </w:pPr>
            <w:r w:rsidRPr="00BB728E">
              <w:rPr>
                <w:rFonts w:ascii="Arial" w:hAnsi="Arial" w:cs="Arial"/>
                <w:sz w:val="24"/>
                <w:szCs w:val="24"/>
              </w:rPr>
              <w:t xml:space="preserve">No rent is being paid yet – it will start to flow in from </w:t>
            </w:r>
            <w:r w:rsidR="12C2F06F" w:rsidRPr="00BB728E">
              <w:rPr>
                <w:rFonts w:ascii="Arial" w:hAnsi="Arial" w:cs="Arial"/>
                <w:sz w:val="24"/>
                <w:szCs w:val="24"/>
              </w:rPr>
              <w:t>20</w:t>
            </w:r>
            <w:r w:rsidRPr="00BB728E">
              <w:rPr>
                <w:rFonts w:ascii="Arial" w:hAnsi="Arial" w:cs="Arial"/>
                <w:sz w:val="24"/>
                <w:szCs w:val="24"/>
              </w:rPr>
              <w:t>24/25</w:t>
            </w:r>
            <w:r w:rsidR="27F66699" w:rsidRPr="00BB728E">
              <w:rPr>
                <w:rFonts w:ascii="Arial" w:hAnsi="Arial" w:cs="Arial"/>
                <w:sz w:val="24"/>
                <w:szCs w:val="24"/>
              </w:rPr>
              <w:t>.</w:t>
            </w:r>
          </w:p>
          <w:p w14:paraId="42442F7F" w14:textId="36876FEA" w:rsidR="00F93601" w:rsidRPr="00BB728E" w:rsidRDefault="27F66699" w:rsidP="3FA070B9">
            <w:pPr>
              <w:pStyle w:val="ListParagraph"/>
              <w:numPr>
                <w:ilvl w:val="0"/>
                <w:numId w:val="5"/>
              </w:numPr>
              <w:rPr>
                <w:rFonts w:ascii="Arial" w:hAnsi="Arial" w:cs="Arial"/>
                <w:sz w:val="24"/>
                <w:szCs w:val="24"/>
              </w:rPr>
            </w:pPr>
            <w:r w:rsidRPr="00BB728E">
              <w:rPr>
                <w:rFonts w:ascii="Arial" w:hAnsi="Arial" w:cs="Arial"/>
                <w:sz w:val="24"/>
                <w:szCs w:val="24"/>
              </w:rPr>
              <w:t>Wheatley.</w:t>
            </w:r>
          </w:p>
          <w:p w14:paraId="3595C3F3" w14:textId="30F22AA3" w:rsidR="00F93601" w:rsidRPr="00BB728E" w:rsidRDefault="27F66699" w:rsidP="3FA070B9">
            <w:pPr>
              <w:pStyle w:val="ListParagraph"/>
              <w:numPr>
                <w:ilvl w:val="0"/>
                <w:numId w:val="5"/>
              </w:numPr>
              <w:rPr>
                <w:rFonts w:ascii="Arial" w:hAnsi="Arial" w:cs="Arial"/>
                <w:sz w:val="24"/>
                <w:szCs w:val="24"/>
              </w:rPr>
            </w:pPr>
            <w:r w:rsidRPr="00BB728E">
              <w:rPr>
                <w:rFonts w:ascii="Arial" w:hAnsi="Arial" w:cs="Arial"/>
                <w:sz w:val="24"/>
                <w:szCs w:val="24"/>
              </w:rPr>
              <w:t>The Council disposed of this property by way of long lease in 2020. The leaseholder has submitted a planning application for the refurbishment. Application number: 23/01093/FUL.</w:t>
            </w:r>
          </w:p>
        </w:tc>
      </w:tr>
      <w:tr w:rsidR="00F93601" w:rsidRPr="00BC0926" w14:paraId="29F4958E" w14:textId="77777777" w:rsidTr="782A0F6C">
        <w:tc>
          <w:tcPr>
            <w:tcW w:w="4508" w:type="dxa"/>
          </w:tcPr>
          <w:p w14:paraId="7B7ADDE0" w14:textId="77777777" w:rsidR="00F93601" w:rsidRPr="00F67241" w:rsidRDefault="1E0BD92B" w:rsidP="001C73C3">
            <w:pPr>
              <w:pStyle w:val="ListParagraph"/>
              <w:numPr>
                <w:ilvl w:val="0"/>
                <w:numId w:val="7"/>
              </w:numPr>
              <w:rPr>
                <w:rFonts w:ascii="Arial" w:hAnsi="Arial" w:cs="Arial"/>
                <w:b/>
                <w:bCs/>
                <w:sz w:val="24"/>
                <w:szCs w:val="24"/>
              </w:rPr>
            </w:pPr>
            <w:r w:rsidRPr="3FA070B9">
              <w:rPr>
                <w:rFonts w:ascii="Arial" w:hAnsi="Arial" w:cs="Arial"/>
                <w:b/>
                <w:bCs/>
                <w:sz w:val="24"/>
                <w:szCs w:val="24"/>
              </w:rPr>
              <w:t>Business Improvement</w:t>
            </w:r>
          </w:p>
          <w:p w14:paraId="25D0748F" w14:textId="173086CE" w:rsidR="001C73C3" w:rsidRPr="00BC0926" w:rsidRDefault="001C73C3" w:rsidP="001C73C3">
            <w:pPr>
              <w:pStyle w:val="ListParagraph"/>
              <w:numPr>
                <w:ilvl w:val="0"/>
                <w:numId w:val="12"/>
              </w:numPr>
              <w:rPr>
                <w:rFonts w:ascii="Arial" w:hAnsi="Arial" w:cs="Arial"/>
                <w:sz w:val="24"/>
                <w:szCs w:val="24"/>
              </w:rPr>
            </w:pPr>
            <w:r w:rsidRPr="00BC0926">
              <w:rPr>
                <w:rFonts w:ascii="Arial" w:hAnsi="Arial" w:cs="Arial"/>
                <w:sz w:val="24"/>
                <w:szCs w:val="24"/>
              </w:rPr>
              <w:t>Have the new systems, which had delayed implementation and led to unrealised savings, now been implemented?</w:t>
            </w:r>
          </w:p>
        </w:tc>
        <w:tc>
          <w:tcPr>
            <w:tcW w:w="4508" w:type="dxa"/>
          </w:tcPr>
          <w:p w14:paraId="49144700" w14:textId="61B2AD26" w:rsidR="00F93601" w:rsidRPr="00BC0926" w:rsidRDefault="359A7BDD" w:rsidP="3FA070B9">
            <w:r w:rsidRPr="3FA070B9">
              <w:rPr>
                <w:rFonts w:ascii="Arial" w:eastAsia="Arial" w:hAnsi="Arial" w:cs="Arial"/>
                <w:sz w:val="24"/>
                <w:szCs w:val="24"/>
              </w:rPr>
              <w:t xml:space="preserve">The savings described are predicated on the development of revenues and benefits online forms for customers to use, resulting in hopefully a significant reduction in call volume which in turn will enable staff savings in the Customer Contact Centre. Whilst there has been significant progress in the development of these online </w:t>
            </w:r>
            <w:proofErr w:type="spellStart"/>
            <w:r w:rsidRPr="3FA070B9">
              <w:rPr>
                <w:rFonts w:ascii="Arial" w:eastAsia="Arial" w:hAnsi="Arial" w:cs="Arial"/>
                <w:sz w:val="24"/>
                <w:szCs w:val="24"/>
              </w:rPr>
              <w:t>forms</w:t>
            </w:r>
            <w:proofErr w:type="spellEnd"/>
            <w:r w:rsidRPr="3FA070B9">
              <w:rPr>
                <w:rFonts w:ascii="Arial" w:eastAsia="Arial" w:hAnsi="Arial" w:cs="Arial"/>
                <w:sz w:val="24"/>
                <w:szCs w:val="24"/>
              </w:rPr>
              <w:t xml:space="preserve"> on the Civica portal, there are still forms yet to go live, as well as other development to fully automate the process. In addition, a robust communication campaign is being devised to promote their usage.   </w:t>
            </w:r>
          </w:p>
        </w:tc>
      </w:tr>
      <w:tr w:rsidR="00F93601" w:rsidRPr="00BC0926" w14:paraId="32AC443A" w14:textId="77777777" w:rsidTr="782A0F6C">
        <w:tc>
          <w:tcPr>
            <w:tcW w:w="4508" w:type="dxa"/>
          </w:tcPr>
          <w:p w14:paraId="3FBC8E2F" w14:textId="77777777" w:rsidR="00F93601" w:rsidRPr="00F67241" w:rsidRDefault="1E0BD92B" w:rsidP="001C73C3">
            <w:pPr>
              <w:pStyle w:val="ListParagraph"/>
              <w:numPr>
                <w:ilvl w:val="0"/>
                <w:numId w:val="7"/>
              </w:numPr>
              <w:rPr>
                <w:rFonts w:ascii="Arial" w:hAnsi="Arial" w:cs="Arial"/>
                <w:b/>
                <w:bCs/>
                <w:sz w:val="24"/>
                <w:szCs w:val="24"/>
              </w:rPr>
            </w:pPr>
            <w:r w:rsidRPr="3FA070B9">
              <w:rPr>
                <w:rFonts w:ascii="Arial" w:hAnsi="Arial" w:cs="Arial"/>
                <w:b/>
                <w:bCs/>
                <w:sz w:val="24"/>
                <w:szCs w:val="24"/>
              </w:rPr>
              <w:t>Financial Services</w:t>
            </w:r>
          </w:p>
          <w:p w14:paraId="5EE3E734" w14:textId="73B3133E" w:rsidR="001C73C3" w:rsidRPr="001A6603" w:rsidRDefault="001C73C3" w:rsidP="001A6603">
            <w:pPr>
              <w:pStyle w:val="ListParagraph"/>
              <w:numPr>
                <w:ilvl w:val="0"/>
                <w:numId w:val="13"/>
              </w:numPr>
              <w:rPr>
                <w:rFonts w:ascii="Arial" w:hAnsi="Arial" w:cs="Arial"/>
                <w:sz w:val="24"/>
                <w:szCs w:val="24"/>
              </w:rPr>
            </w:pPr>
            <w:r w:rsidRPr="205BFA06">
              <w:rPr>
                <w:rFonts w:ascii="Arial" w:hAnsi="Arial" w:cs="Arial"/>
                <w:sz w:val="24"/>
                <w:szCs w:val="24"/>
              </w:rPr>
              <w:t xml:space="preserve">Is it anticipated that Procurement savings will be identified during the rest of the year? </w:t>
            </w:r>
          </w:p>
          <w:p w14:paraId="7B18A34B" w14:textId="0B110287" w:rsidR="001C73C3" w:rsidRPr="001A6603" w:rsidRDefault="001C73C3" w:rsidP="205BFA06">
            <w:pPr>
              <w:rPr>
                <w:rFonts w:ascii="Arial" w:hAnsi="Arial" w:cs="Arial"/>
                <w:sz w:val="24"/>
                <w:szCs w:val="24"/>
              </w:rPr>
            </w:pPr>
          </w:p>
          <w:p w14:paraId="34602CCE" w14:textId="1029FE82" w:rsidR="001C73C3" w:rsidRPr="001A6603" w:rsidRDefault="481843DE" w:rsidP="205BFA06">
            <w:pPr>
              <w:rPr>
                <w:rFonts w:ascii="Arial" w:eastAsia="Arial" w:hAnsi="Arial" w:cs="Arial"/>
                <w:sz w:val="24"/>
                <w:szCs w:val="24"/>
              </w:rPr>
            </w:pPr>
            <w:r w:rsidRPr="782A0F6C">
              <w:rPr>
                <w:rFonts w:ascii="Arial" w:eastAsia="Arial" w:hAnsi="Arial" w:cs="Arial"/>
                <w:b/>
                <w:bCs/>
                <w:i/>
                <w:iCs/>
                <w:sz w:val="20"/>
                <w:szCs w:val="20"/>
              </w:rPr>
              <w:t xml:space="preserve">Note: </w:t>
            </w:r>
            <w:r w:rsidRPr="782A0F6C">
              <w:rPr>
                <w:rFonts w:ascii="Arial" w:eastAsia="Arial" w:hAnsi="Arial" w:cs="Arial"/>
                <w:i/>
                <w:iCs/>
                <w:sz w:val="20"/>
                <w:szCs w:val="20"/>
              </w:rPr>
              <w:t>The Panel requested a report from the Procurement Manager to a future meeting to explain the realism of the proposed Procurement savings in the current financial year</w:t>
            </w:r>
            <w:r w:rsidR="7ACEB33A" w:rsidRPr="782A0F6C">
              <w:rPr>
                <w:rFonts w:ascii="Arial" w:eastAsia="Arial" w:hAnsi="Arial" w:cs="Arial"/>
                <w:i/>
                <w:iCs/>
                <w:sz w:val="20"/>
                <w:szCs w:val="20"/>
              </w:rPr>
              <w:t>.</w:t>
            </w:r>
          </w:p>
          <w:p w14:paraId="2EA0FA80" w14:textId="325755D7" w:rsidR="001C73C3" w:rsidRPr="001A6603" w:rsidRDefault="001C73C3" w:rsidP="205BFA06">
            <w:pPr>
              <w:rPr>
                <w:rFonts w:ascii="Arial" w:hAnsi="Arial" w:cs="Arial"/>
                <w:sz w:val="24"/>
                <w:szCs w:val="24"/>
              </w:rPr>
            </w:pPr>
          </w:p>
        </w:tc>
        <w:tc>
          <w:tcPr>
            <w:tcW w:w="4508" w:type="dxa"/>
          </w:tcPr>
          <w:p w14:paraId="00F13D4E" w14:textId="2413348D" w:rsidR="00F93601" w:rsidRPr="001A6603" w:rsidRDefault="481843DE" w:rsidP="205BFA06">
            <w:pPr>
              <w:spacing w:after="160" w:line="257" w:lineRule="auto"/>
              <w:rPr>
                <w:rFonts w:ascii="Arial" w:eastAsia="Arial" w:hAnsi="Arial" w:cs="Arial"/>
                <w:sz w:val="24"/>
                <w:szCs w:val="24"/>
              </w:rPr>
            </w:pPr>
            <w:r w:rsidRPr="205BFA06">
              <w:rPr>
                <w:rFonts w:ascii="Arial" w:eastAsia="Arial" w:hAnsi="Arial" w:cs="Arial"/>
                <w:sz w:val="24"/>
                <w:szCs w:val="24"/>
              </w:rPr>
              <w:t>A savings target of £100k was agreed with the Council’s former Interim Director of Transformation from 01 April 2022 and £38.50k of savings was found.</w:t>
            </w:r>
          </w:p>
          <w:p w14:paraId="5B11C7BD" w14:textId="6EB89708" w:rsidR="00F93601" w:rsidRPr="001A6603" w:rsidRDefault="481843DE" w:rsidP="205BFA06">
            <w:pPr>
              <w:spacing w:after="160" w:line="257" w:lineRule="auto"/>
              <w:rPr>
                <w:rFonts w:ascii="Arial" w:eastAsia="Arial" w:hAnsi="Arial" w:cs="Arial"/>
                <w:sz w:val="24"/>
                <w:szCs w:val="24"/>
              </w:rPr>
            </w:pPr>
            <w:r w:rsidRPr="205BFA06">
              <w:rPr>
                <w:rFonts w:ascii="Arial" w:eastAsia="Arial" w:hAnsi="Arial" w:cs="Arial"/>
                <w:sz w:val="24"/>
                <w:szCs w:val="24"/>
              </w:rPr>
              <w:t>A percentage saving for suppliers if they opted for an early payment discount was offered to suppliers on standard payment terms. There was very little uptake for the saving against invoices; this provided minor savings.</w:t>
            </w:r>
          </w:p>
          <w:p w14:paraId="2C225ECB" w14:textId="1024EAAD" w:rsidR="00F93601" w:rsidRPr="001A6603" w:rsidRDefault="481843DE" w:rsidP="205BFA06">
            <w:pPr>
              <w:spacing w:after="160" w:line="257" w:lineRule="auto"/>
              <w:rPr>
                <w:rFonts w:ascii="Arial" w:eastAsia="Arial" w:hAnsi="Arial" w:cs="Arial"/>
                <w:sz w:val="24"/>
                <w:szCs w:val="24"/>
              </w:rPr>
            </w:pPr>
            <w:r w:rsidRPr="205BFA06">
              <w:rPr>
                <w:rFonts w:ascii="Arial" w:eastAsia="Arial" w:hAnsi="Arial" w:cs="Arial"/>
                <w:sz w:val="24"/>
                <w:szCs w:val="24"/>
              </w:rPr>
              <w:t xml:space="preserve">All service areas were asked to negotiate savings with their Contracts with the support of Procurement prior to extending or renewing. Whilst savings </w:t>
            </w:r>
            <w:r w:rsidRPr="205BFA06">
              <w:rPr>
                <w:rFonts w:ascii="Arial" w:eastAsia="Arial" w:hAnsi="Arial" w:cs="Arial"/>
                <w:sz w:val="24"/>
                <w:szCs w:val="24"/>
              </w:rPr>
              <w:lastRenderedPageBreak/>
              <w:t>were logged, it appeared that Service areas also recorded the savings, and it was difficult to allocate these to the Procurement Saving Budget. We therefore needed to remove the possibility of duplication and agreed to remove this saving from the Procurement budget. There is still a focus for Procurement to challenge awards of contracts where costs would appear to increase or where contracts exceed the contracted spend.</w:t>
            </w:r>
          </w:p>
          <w:p w14:paraId="2C853E44" w14:textId="7E258856" w:rsidR="00F93601" w:rsidRPr="001A6603" w:rsidRDefault="481843DE" w:rsidP="205BFA06">
            <w:pPr>
              <w:spacing w:after="160" w:line="257" w:lineRule="auto"/>
              <w:rPr>
                <w:rFonts w:ascii="Arial" w:eastAsia="Arial" w:hAnsi="Arial" w:cs="Arial"/>
                <w:sz w:val="24"/>
                <w:szCs w:val="24"/>
              </w:rPr>
            </w:pPr>
            <w:r w:rsidRPr="205BFA06">
              <w:rPr>
                <w:rFonts w:ascii="Arial" w:eastAsia="Arial" w:hAnsi="Arial" w:cs="Arial"/>
                <w:sz w:val="24"/>
                <w:szCs w:val="24"/>
              </w:rPr>
              <w:t>The current climate, including increased inflation, and the required inclusion of Social Value, Sustainability, Equality and Diversity considerations within Procurement exercises is all adding to difficulty in negotiating savings.</w:t>
            </w:r>
          </w:p>
          <w:p w14:paraId="70B6DF95" w14:textId="7FD8841D" w:rsidR="00F93601" w:rsidRPr="001A6603" w:rsidRDefault="42D7696D" w:rsidP="205BFA06">
            <w:pPr>
              <w:spacing w:after="160" w:line="257" w:lineRule="auto"/>
              <w:rPr>
                <w:rFonts w:ascii="Arial" w:eastAsia="Arial" w:hAnsi="Arial" w:cs="Arial"/>
                <w:sz w:val="24"/>
                <w:szCs w:val="24"/>
              </w:rPr>
            </w:pPr>
            <w:r w:rsidRPr="782A0F6C">
              <w:rPr>
                <w:rFonts w:ascii="Arial" w:eastAsia="Arial" w:hAnsi="Arial" w:cs="Arial"/>
                <w:sz w:val="24"/>
                <w:szCs w:val="24"/>
              </w:rPr>
              <w:t xml:space="preserve">It is likely that the residual part of this saving </w:t>
            </w:r>
            <w:r w:rsidR="1147AD5C" w:rsidRPr="782A0F6C">
              <w:rPr>
                <w:rFonts w:ascii="Arial" w:eastAsia="Arial" w:hAnsi="Arial" w:cs="Arial"/>
                <w:sz w:val="24"/>
                <w:szCs w:val="24"/>
              </w:rPr>
              <w:t>(</w:t>
            </w:r>
            <w:proofErr w:type="gramStart"/>
            <w:r w:rsidR="5401946F" w:rsidRPr="782A0F6C">
              <w:rPr>
                <w:rFonts w:ascii="Arial" w:eastAsia="Arial" w:hAnsi="Arial" w:cs="Arial"/>
                <w:sz w:val="24"/>
                <w:szCs w:val="24"/>
              </w:rPr>
              <w:t>i</w:t>
            </w:r>
            <w:r w:rsidRPr="782A0F6C">
              <w:rPr>
                <w:rFonts w:ascii="Arial" w:eastAsia="Arial" w:hAnsi="Arial" w:cs="Arial"/>
                <w:sz w:val="24"/>
                <w:szCs w:val="24"/>
              </w:rPr>
              <w:t>.e</w:t>
            </w:r>
            <w:r w:rsidR="45CD646F" w:rsidRPr="782A0F6C">
              <w:rPr>
                <w:rFonts w:ascii="Arial" w:eastAsia="Arial" w:hAnsi="Arial" w:cs="Arial"/>
                <w:sz w:val="24"/>
                <w:szCs w:val="24"/>
              </w:rPr>
              <w:t>.</w:t>
            </w:r>
            <w:proofErr w:type="gramEnd"/>
            <w:r w:rsidRPr="782A0F6C">
              <w:rPr>
                <w:rFonts w:ascii="Arial" w:eastAsia="Arial" w:hAnsi="Arial" w:cs="Arial"/>
                <w:sz w:val="24"/>
                <w:szCs w:val="24"/>
              </w:rPr>
              <w:t xml:space="preserve"> £68k per annum</w:t>
            </w:r>
            <w:r w:rsidR="5B759CCD" w:rsidRPr="782A0F6C">
              <w:rPr>
                <w:rFonts w:ascii="Arial" w:eastAsia="Arial" w:hAnsi="Arial" w:cs="Arial"/>
                <w:sz w:val="24"/>
                <w:szCs w:val="24"/>
              </w:rPr>
              <w:t>)</w:t>
            </w:r>
            <w:r w:rsidRPr="782A0F6C">
              <w:rPr>
                <w:rFonts w:ascii="Arial" w:eastAsia="Arial" w:hAnsi="Arial" w:cs="Arial"/>
                <w:sz w:val="24"/>
                <w:szCs w:val="24"/>
              </w:rPr>
              <w:t xml:space="preserve"> will be removed from the budget when it is agreed in December</w:t>
            </w:r>
            <w:r w:rsidR="10BE4FC5" w:rsidRPr="782A0F6C">
              <w:rPr>
                <w:rFonts w:ascii="Arial" w:eastAsia="Arial" w:hAnsi="Arial" w:cs="Arial"/>
                <w:sz w:val="24"/>
                <w:szCs w:val="24"/>
              </w:rPr>
              <w:t>.</w:t>
            </w:r>
          </w:p>
        </w:tc>
      </w:tr>
      <w:tr w:rsidR="00F93601" w:rsidRPr="00BC0926" w14:paraId="7A9C762D" w14:textId="77777777" w:rsidTr="782A0F6C">
        <w:tc>
          <w:tcPr>
            <w:tcW w:w="4508" w:type="dxa"/>
          </w:tcPr>
          <w:p w14:paraId="346E23E1" w14:textId="7BF0B951" w:rsidR="00F93601" w:rsidRPr="00BC0926" w:rsidRDefault="1E0BD92B" w:rsidP="001C73C3">
            <w:pPr>
              <w:pStyle w:val="ListParagraph"/>
              <w:numPr>
                <w:ilvl w:val="0"/>
                <w:numId w:val="7"/>
              </w:numPr>
              <w:rPr>
                <w:rFonts w:ascii="Arial" w:hAnsi="Arial" w:cs="Arial"/>
                <w:sz w:val="24"/>
                <w:szCs w:val="24"/>
              </w:rPr>
            </w:pPr>
            <w:r w:rsidRPr="782A0F6C">
              <w:rPr>
                <w:rFonts w:ascii="Arial" w:hAnsi="Arial" w:cs="Arial"/>
                <w:sz w:val="24"/>
                <w:szCs w:val="24"/>
              </w:rPr>
              <w:lastRenderedPageBreak/>
              <w:t>What is the cost</w:t>
            </w:r>
            <w:r w:rsidR="3EC2678B" w:rsidRPr="782A0F6C">
              <w:rPr>
                <w:rFonts w:ascii="Arial" w:hAnsi="Arial" w:cs="Arial"/>
                <w:sz w:val="24"/>
                <w:szCs w:val="24"/>
              </w:rPr>
              <w:t>-</w:t>
            </w:r>
            <w:r w:rsidRPr="782A0F6C">
              <w:rPr>
                <w:rFonts w:ascii="Arial" w:hAnsi="Arial" w:cs="Arial"/>
                <w:sz w:val="24"/>
                <w:szCs w:val="24"/>
              </w:rPr>
              <w:t>benefit from the rise in the bank rate (see paragraph 7 of the report)?</w:t>
            </w:r>
          </w:p>
        </w:tc>
        <w:tc>
          <w:tcPr>
            <w:tcW w:w="4508" w:type="dxa"/>
          </w:tcPr>
          <w:p w14:paraId="127F45CD" w14:textId="0D44B09B" w:rsidR="00F93601" w:rsidRPr="00BC0926" w:rsidRDefault="00BB728E" w:rsidP="782A0F6C">
            <w:pPr>
              <w:spacing w:before="240" w:after="240"/>
              <w:rPr>
                <w:rFonts w:ascii="Arial" w:eastAsia="Arial" w:hAnsi="Arial" w:cs="Arial"/>
                <w:sz w:val="24"/>
                <w:szCs w:val="24"/>
              </w:rPr>
            </w:pPr>
            <w:r>
              <w:rPr>
                <w:rFonts w:ascii="Arial" w:eastAsia="Arial" w:hAnsi="Arial" w:cs="Arial"/>
                <w:sz w:val="24"/>
                <w:szCs w:val="24"/>
              </w:rPr>
              <w:t>T</w:t>
            </w:r>
            <w:r w:rsidR="580D3976" w:rsidRPr="782A0F6C">
              <w:rPr>
                <w:rFonts w:ascii="Arial" w:eastAsia="Arial" w:hAnsi="Arial" w:cs="Arial"/>
                <w:sz w:val="24"/>
                <w:szCs w:val="24"/>
              </w:rPr>
              <w:t>he rise in the bank rate leads to increases in interest rates that the Council receives on investments. There is a delay in any increases affecting the interest income for the Council due to most of the investments being for a fixed term. Increases in the bank rate are beneficial to the Council investments.</w:t>
            </w:r>
          </w:p>
          <w:p w14:paraId="57D15C5A" w14:textId="461611EF" w:rsidR="00F93601" w:rsidRPr="00BC0926" w:rsidRDefault="580D3976" w:rsidP="782A0F6C">
            <w:pPr>
              <w:spacing w:before="240" w:after="240"/>
              <w:rPr>
                <w:rFonts w:ascii="Arial" w:eastAsia="Arial" w:hAnsi="Arial" w:cs="Arial"/>
                <w:sz w:val="24"/>
                <w:szCs w:val="24"/>
              </w:rPr>
            </w:pPr>
            <w:r w:rsidRPr="782A0F6C">
              <w:rPr>
                <w:rFonts w:ascii="Arial" w:eastAsia="Arial" w:hAnsi="Arial" w:cs="Arial"/>
                <w:sz w:val="24"/>
                <w:szCs w:val="24"/>
              </w:rPr>
              <w:t>Conversely, increases in the bank base rate will tend to increase interest rates on borrowing which would have an adverse effect on the Council. The Council’s capital plans include significant levels of borrowing to fund the expenditure. Initially the Council will use internal borrowing to reduce its exposure to external borrowing and will then access external borrowing when there is no more internal borrowing capacity. In any case, internal borrowing reduce</w:t>
            </w:r>
            <w:r w:rsidR="4FEC928D" w:rsidRPr="782A0F6C">
              <w:rPr>
                <w:rFonts w:ascii="Arial" w:eastAsia="Arial" w:hAnsi="Arial" w:cs="Arial"/>
                <w:sz w:val="24"/>
                <w:szCs w:val="24"/>
              </w:rPr>
              <w:t>s</w:t>
            </w:r>
            <w:r w:rsidRPr="782A0F6C">
              <w:rPr>
                <w:rFonts w:ascii="Arial" w:eastAsia="Arial" w:hAnsi="Arial" w:cs="Arial"/>
                <w:sz w:val="24"/>
                <w:szCs w:val="24"/>
              </w:rPr>
              <w:t xml:space="preserve"> the levels of investment that the Council can make and consequently </w:t>
            </w:r>
            <w:r w:rsidRPr="782A0F6C">
              <w:rPr>
                <w:rFonts w:ascii="Arial" w:eastAsia="Arial" w:hAnsi="Arial" w:cs="Arial"/>
                <w:sz w:val="24"/>
                <w:szCs w:val="24"/>
              </w:rPr>
              <w:lastRenderedPageBreak/>
              <w:t>reduces the benefit of rises in interest rates on investment rates.</w:t>
            </w:r>
          </w:p>
          <w:p w14:paraId="333BF852" w14:textId="6FB4DCAE" w:rsidR="00F93601" w:rsidRPr="00BC0926" w:rsidRDefault="580D3976" w:rsidP="782A0F6C">
            <w:pPr>
              <w:spacing w:before="240" w:after="240"/>
              <w:rPr>
                <w:rFonts w:ascii="Arial" w:eastAsia="Arial" w:hAnsi="Arial" w:cs="Arial"/>
                <w:sz w:val="24"/>
                <w:szCs w:val="24"/>
              </w:rPr>
            </w:pPr>
            <w:r w:rsidRPr="782A0F6C">
              <w:rPr>
                <w:rFonts w:ascii="Arial" w:eastAsia="Arial" w:hAnsi="Arial" w:cs="Arial"/>
                <w:sz w:val="24"/>
                <w:szCs w:val="24"/>
              </w:rPr>
              <w:t>The use of borrowing means that the Council is spending money which it hasn’t got</w:t>
            </w:r>
            <w:r w:rsidR="3B87FFCC" w:rsidRPr="782A0F6C">
              <w:rPr>
                <w:rFonts w:ascii="Arial" w:eastAsia="Arial" w:hAnsi="Arial" w:cs="Arial"/>
                <w:sz w:val="24"/>
                <w:szCs w:val="24"/>
              </w:rPr>
              <w:t>,</w:t>
            </w:r>
            <w:r w:rsidRPr="782A0F6C">
              <w:rPr>
                <w:rFonts w:ascii="Arial" w:eastAsia="Arial" w:hAnsi="Arial" w:cs="Arial"/>
                <w:sz w:val="24"/>
                <w:szCs w:val="24"/>
              </w:rPr>
              <w:t xml:space="preserve"> which inevitably comes at a cost and increases in interest rates add to that cost. Over time, as there is a shift from investment to borrowing, a rise in interest rates has an increasingly adverse effect on the Council.</w:t>
            </w:r>
          </w:p>
          <w:p w14:paraId="0063400A" w14:textId="243508F7" w:rsidR="00F93601" w:rsidRPr="00BC0926" w:rsidRDefault="580D3976" w:rsidP="5DE6DD78">
            <w:pPr>
              <w:spacing w:before="240" w:after="240"/>
            </w:pPr>
            <w:r w:rsidRPr="5DE6DD78">
              <w:rPr>
                <w:rFonts w:ascii="Arial" w:eastAsia="Arial" w:hAnsi="Arial" w:cs="Arial"/>
                <w:sz w:val="24"/>
                <w:szCs w:val="24"/>
              </w:rPr>
              <w:t>The Council’s housing company relies on borrowing to finance its activities and so increases in interest rates will add cost pressures to the company which in turn will lead to lower surpluses and therefore lower availability of retained earnings from which to pay a dividend to the Council.</w:t>
            </w:r>
          </w:p>
        </w:tc>
      </w:tr>
      <w:tr w:rsidR="001C73C3" w:rsidRPr="00BC0926" w14:paraId="2EAF48C8" w14:textId="77777777" w:rsidTr="782A0F6C">
        <w:tc>
          <w:tcPr>
            <w:tcW w:w="4508" w:type="dxa"/>
          </w:tcPr>
          <w:p w14:paraId="62E50606" w14:textId="1BDB2EBE" w:rsidR="001C73C3" w:rsidRPr="00BC0926" w:rsidRDefault="1E0BD92B" w:rsidP="001C73C3">
            <w:pPr>
              <w:pStyle w:val="ListParagraph"/>
              <w:numPr>
                <w:ilvl w:val="0"/>
                <w:numId w:val="7"/>
              </w:numPr>
              <w:rPr>
                <w:rFonts w:ascii="Arial" w:hAnsi="Arial" w:cs="Arial"/>
                <w:sz w:val="24"/>
                <w:szCs w:val="24"/>
              </w:rPr>
            </w:pPr>
            <w:r w:rsidRPr="3FA070B9">
              <w:rPr>
                <w:rFonts w:ascii="Arial" w:hAnsi="Arial" w:cs="Arial"/>
                <w:sz w:val="24"/>
                <w:szCs w:val="24"/>
              </w:rPr>
              <w:lastRenderedPageBreak/>
              <w:t>Museum income (paragraph 8) – has consideration been given to charging an admission fee (with concessions to ensure it remains affordable)?</w:t>
            </w:r>
          </w:p>
        </w:tc>
        <w:tc>
          <w:tcPr>
            <w:tcW w:w="4508" w:type="dxa"/>
          </w:tcPr>
          <w:p w14:paraId="0724ED46" w14:textId="3F62B391" w:rsidR="001C73C3" w:rsidRPr="00BC0926" w:rsidRDefault="7EF1B5DA" w:rsidP="782A0F6C">
            <w:pPr>
              <w:rPr>
                <w:rFonts w:ascii="Arial" w:eastAsia="Arial" w:hAnsi="Arial" w:cs="Arial"/>
                <w:color w:val="000000" w:themeColor="text1"/>
                <w:sz w:val="24"/>
                <w:szCs w:val="24"/>
              </w:rPr>
            </w:pPr>
            <w:r w:rsidRPr="782A0F6C">
              <w:rPr>
                <w:rFonts w:ascii="Arial" w:eastAsia="Arial" w:hAnsi="Arial" w:cs="Arial"/>
                <w:color w:val="000000" w:themeColor="text1"/>
                <w:sz w:val="24"/>
                <w:szCs w:val="24"/>
              </w:rPr>
              <w:t>Charging has been considered for non-residents as it a museum for the people of Oxford, however Oxford has a model of free museums and charging will result in a lower footfall and secondary spend, whilst also charging an entry fee could reduce the success rate of fundraising and grants. The museum team are pushing the donation model though of ‘pay what you can’ to help towards the income targets.</w:t>
            </w:r>
          </w:p>
        </w:tc>
      </w:tr>
      <w:tr w:rsidR="001C73C3" w:rsidRPr="00BC0926" w14:paraId="5EC22F98" w14:textId="77777777" w:rsidTr="782A0F6C">
        <w:tc>
          <w:tcPr>
            <w:tcW w:w="4508" w:type="dxa"/>
          </w:tcPr>
          <w:p w14:paraId="151DBD25" w14:textId="77777777" w:rsidR="001C73C3" w:rsidRPr="00F67241" w:rsidRDefault="1E0BD92B" w:rsidP="001C73C3">
            <w:pPr>
              <w:pStyle w:val="ListParagraph"/>
              <w:numPr>
                <w:ilvl w:val="0"/>
                <w:numId w:val="7"/>
              </w:numPr>
              <w:rPr>
                <w:rFonts w:ascii="Arial" w:hAnsi="Arial" w:cs="Arial"/>
                <w:b/>
                <w:bCs/>
                <w:sz w:val="24"/>
                <w:szCs w:val="24"/>
              </w:rPr>
            </w:pPr>
            <w:r w:rsidRPr="3FA070B9">
              <w:rPr>
                <w:rFonts w:ascii="Arial" w:hAnsi="Arial" w:cs="Arial"/>
                <w:b/>
                <w:bCs/>
                <w:sz w:val="24"/>
                <w:szCs w:val="24"/>
              </w:rPr>
              <w:t>Car Park Income</w:t>
            </w:r>
          </w:p>
          <w:p w14:paraId="55E1ABC3" w14:textId="77777777" w:rsidR="001C73C3" w:rsidRPr="00BC0926" w:rsidRDefault="001C73C3" w:rsidP="001C73C3">
            <w:pPr>
              <w:pStyle w:val="ListParagraph"/>
              <w:numPr>
                <w:ilvl w:val="0"/>
                <w:numId w:val="14"/>
              </w:numPr>
              <w:rPr>
                <w:rFonts w:ascii="Arial" w:hAnsi="Arial" w:cs="Arial"/>
                <w:sz w:val="24"/>
                <w:szCs w:val="24"/>
              </w:rPr>
            </w:pPr>
            <w:r w:rsidRPr="00BC0926">
              <w:rPr>
                <w:rFonts w:ascii="Arial" w:hAnsi="Arial" w:cs="Arial"/>
                <w:sz w:val="24"/>
                <w:szCs w:val="24"/>
              </w:rPr>
              <w:t xml:space="preserve">What is the reason for the delay in starting to charge for </w:t>
            </w:r>
            <w:proofErr w:type="spellStart"/>
            <w:r w:rsidRPr="00BC0926">
              <w:rPr>
                <w:rFonts w:ascii="Arial" w:hAnsi="Arial" w:cs="Arial"/>
                <w:sz w:val="24"/>
                <w:szCs w:val="24"/>
              </w:rPr>
              <w:t>Godstow</w:t>
            </w:r>
            <w:proofErr w:type="spellEnd"/>
            <w:r w:rsidRPr="00BC0926">
              <w:rPr>
                <w:rFonts w:ascii="Arial" w:hAnsi="Arial" w:cs="Arial"/>
                <w:sz w:val="24"/>
                <w:szCs w:val="24"/>
              </w:rPr>
              <w:t xml:space="preserve"> Road and Florence Park car parks?</w:t>
            </w:r>
          </w:p>
          <w:p w14:paraId="1EC99FDA" w14:textId="523BF6B5" w:rsidR="001C73C3" w:rsidRPr="00BC0926" w:rsidRDefault="001C73C3" w:rsidP="001C73C3">
            <w:pPr>
              <w:pStyle w:val="ListParagraph"/>
              <w:numPr>
                <w:ilvl w:val="0"/>
                <w:numId w:val="14"/>
              </w:numPr>
              <w:rPr>
                <w:rFonts w:ascii="Arial" w:hAnsi="Arial" w:cs="Arial"/>
                <w:sz w:val="24"/>
                <w:szCs w:val="24"/>
              </w:rPr>
            </w:pPr>
            <w:r w:rsidRPr="00BC0926">
              <w:rPr>
                <w:rFonts w:ascii="Arial" w:hAnsi="Arial" w:cs="Arial"/>
                <w:sz w:val="24"/>
                <w:szCs w:val="24"/>
              </w:rPr>
              <w:t>How has the closure of the Station Bridge been incorporated into the forecasts?</w:t>
            </w:r>
          </w:p>
        </w:tc>
        <w:tc>
          <w:tcPr>
            <w:tcW w:w="4508" w:type="dxa"/>
          </w:tcPr>
          <w:p w14:paraId="3B856A37" w14:textId="2A0E70AF" w:rsidR="001C73C3" w:rsidRPr="00BC0926" w:rsidRDefault="700EE2D5" w:rsidP="782A0F6C">
            <w:pPr>
              <w:pStyle w:val="ListParagraph"/>
              <w:numPr>
                <w:ilvl w:val="0"/>
                <w:numId w:val="4"/>
              </w:numPr>
              <w:rPr>
                <w:rFonts w:ascii="Arial" w:eastAsia="Arial" w:hAnsi="Arial" w:cs="Arial"/>
                <w:sz w:val="24"/>
                <w:szCs w:val="24"/>
              </w:rPr>
            </w:pPr>
            <w:r w:rsidRPr="782A0F6C">
              <w:rPr>
                <w:rFonts w:ascii="Arial" w:eastAsia="Arial" w:hAnsi="Arial" w:cs="Arial"/>
                <w:sz w:val="24"/>
                <w:szCs w:val="24"/>
              </w:rPr>
              <w:t>Parking notices have not yet been issued</w:t>
            </w:r>
            <w:r w:rsidR="79116C9F" w:rsidRPr="782A0F6C">
              <w:rPr>
                <w:rFonts w:ascii="Arial" w:eastAsia="Arial" w:hAnsi="Arial" w:cs="Arial"/>
                <w:sz w:val="24"/>
                <w:szCs w:val="24"/>
              </w:rPr>
              <w:t>.</w:t>
            </w:r>
          </w:p>
          <w:p w14:paraId="380624E5" w14:textId="7BC87005" w:rsidR="001C73C3" w:rsidRPr="00BC0926" w:rsidRDefault="79116C9F" w:rsidP="782A0F6C">
            <w:pPr>
              <w:pStyle w:val="ListParagraph"/>
              <w:numPr>
                <w:ilvl w:val="0"/>
                <w:numId w:val="4"/>
              </w:numPr>
              <w:rPr>
                <w:rFonts w:ascii="Arial" w:eastAsia="Arial" w:hAnsi="Arial" w:cs="Arial"/>
                <w:sz w:val="24"/>
                <w:szCs w:val="24"/>
              </w:rPr>
            </w:pPr>
            <w:r w:rsidRPr="782A0F6C">
              <w:rPr>
                <w:rFonts w:ascii="Arial" w:eastAsia="Arial" w:hAnsi="Arial" w:cs="Arial"/>
                <w:color w:val="000000" w:themeColor="text1"/>
                <w:sz w:val="24"/>
                <w:szCs w:val="24"/>
              </w:rPr>
              <w:t xml:space="preserve">It is incredibly challenging to understand how closures such as this may impact behaviour of customers of the park and rides. While a decrease wasn't directly modelled, we have seen an increase in use at both Redbridge and Peartree </w:t>
            </w:r>
            <w:proofErr w:type="gramStart"/>
            <w:r w:rsidRPr="782A0F6C">
              <w:rPr>
                <w:rFonts w:ascii="Arial" w:eastAsia="Arial" w:hAnsi="Arial" w:cs="Arial"/>
                <w:color w:val="000000" w:themeColor="text1"/>
                <w:sz w:val="24"/>
                <w:szCs w:val="24"/>
              </w:rPr>
              <w:t>as a result of</w:t>
            </w:r>
            <w:proofErr w:type="gramEnd"/>
            <w:r w:rsidRPr="782A0F6C">
              <w:rPr>
                <w:rFonts w:ascii="Arial" w:eastAsia="Arial" w:hAnsi="Arial" w:cs="Arial"/>
                <w:color w:val="000000" w:themeColor="text1"/>
                <w:sz w:val="24"/>
                <w:szCs w:val="24"/>
              </w:rPr>
              <w:t xml:space="preserve"> the closure.</w:t>
            </w:r>
            <w:r w:rsidRPr="782A0F6C">
              <w:rPr>
                <w:rFonts w:ascii="Arial" w:eastAsia="Arial" w:hAnsi="Arial" w:cs="Arial"/>
                <w:sz w:val="24"/>
                <w:szCs w:val="24"/>
              </w:rPr>
              <w:t xml:space="preserve"> </w:t>
            </w:r>
          </w:p>
        </w:tc>
      </w:tr>
      <w:tr w:rsidR="001C1B9B" w:rsidRPr="00BC0926" w14:paraId="4E78CC0A" w14:textId="77777777" w:rsidTr="782A0F6C">
        <w:tc>
          <w:tcPr>
            <w:tcW w:w="9016" w:type="dxa"/>
            <w:gridSpan w:val="2"/>
            <w:shd w:val="clear" w:color="auto" w:fill="D9E2F3" w:themeFill="accent1" w:themeFillTint="33"/>
          </w:tcPr>
          <w:p w14:paraId="73691272" w14:textId="77777777" w:rsidR="001C1B9B" w:rsidRPr="00BC0926" w:rsidRDefault="001C1B9B">
            <w:pPr>
              <w:rPr>
                <w:rFonts w:ascii="Arial" w:hAnsi="Arial" w:cs="Arial"/>
                <w:b/>
                <w:bCs/>
                <w:sz w:val="24"/>
                <w:szCs w:val="24"/>
              </w:rPr>
            </w:pPr>
          </w:p>
          <w:p w14:paraId="359B8CD8" w14:textId="77777777" w:rsidR="001C1B9B" w:rsidRPr="00BC0926" w:rsidRDefault="001C1B9B">
            <w:pPr>
              <w:rPr>
                <w:rFonts w:ascii="Arial" w:hAnsi="Arial" w:cs="Arial"/>
                <w:sz w:val="24"/>
                <w:szCs w:val="24"/>
                <w:u w:val="single"/>
              </w:rPr>
            </w:pPr>
            <w:r w:rsidRPr="00BC0926">
              <w:rPr>
                <w:rFonts w:ascii="Arial" w:hAnsi="Arial" w:cs="Arial"/>
                <w:sz w:val="24"/>
                <w:szCs w:val="24"/>
                <w:u w:val="single"/>
              </w:rPr>
              <w:t>Efficiencies Table</w:t>
            </w:r>
          </w:p>
          <w:p w14:paraId="25732C57" w14:textId="09D7C48A" w:rsidR="001C1B9B" w:rsidRPr="00BC0926" w:rsidRDefault="001C1B9B">
            <w:pPr>
              <w:rPr>
                <w:rFonts w:ascii="Arial" w:hAnsi="Arial" w:cs="Arial"/>
                <w:sz w:val="24"/>
                <w:szCs w:val="24"/>
                <w:u w:val="single"/>
              </w:rPr>
            </w:pPr>
          </w:p>
        </w:tc>
      </w:tr>
      <w:tr w:rsidR="001C73C3" w:rsidRPr="00BC0926" w14:paraId="1B455047" w14:textId="77777777" w:rsidTr="782A0F6C">
        <w:tc>
          <w:tcPr>
            <w:tcW w:w="4508" w:type="dxa"/>
          </w:tcPr>
          <w:p w14:paraId="361E2713" w14:textId="36A0983E" w:rsidR="001C73C3" w:rsidRPr="00BC0926" w:rsidRDefault="1E0BD92B" w:rsidP="001C73C3">
            <w:pPr>
              <w:pStyle w:val="ListParagraph"/>
              <w:numPr>
                <w:ilvl w:val="0"/>
                <w:numId w:val="7"/>
              </w:numPr>
              <w:rPr>
                <w:rFonts w:ascii="Arial" w:hAnsi="Arial" w:cs="Arial"/>
                <w:sz w:val="24"/>
                <w:szCs w:val="24"/>
              </w:rPr>
            </w:pPr>
            <w:r w:rsidRPr="3FA070B9">
              <w:rPr>
                <w:rFonts w:ascii="Arial" w:hAnsi="Arial" w:cs="Arial"/>
                <w:sz w:val="24"/>
                <w:szCs w:val="24"/>
              </w:rPr>
              <w:t xml:space="preserve">The report narrative for Corporate Property (paragraph 9) cites a £440k pressure </w:t>
            </w:r>
            <w:r w:rsidRPr="3FA070B9">
              <w:rPr>
                <w:rFonts w:ascii="Arial" w:eastAsia="Times New Roman" w:hAnsi="Arial" w:cs="Arial"/>
                <w:sz w:val="24"/>
                <w:szCs w:val="24"/>
                <w:lang w:eastAsia="en-GB"/>
              </w:rPr>
              <w:t xml:space="preserve">relating to the delays in renting out St Aldate’s Chambers </w:t>
            </w:r>
            <w:r w:rsidRPr="3FA070B9">
              <w:rPr>
                <w:rFonts w:ascii="Arial" w:eastAsia="Times New Roman" w:hAnsi="Arial" w:cs="Arial"/>
                <w:sz w:val="24"/>
                <w:szCs w:val="24"/>
                <w:lang w:eastAsia="en-GB"/>
              </w:rPr>
              <w:lastRenderedPageBreak/>
              <w:t>(SAC) - however when you look in the table, the delays in renting out SAC appear to create more pressure than that amount. What is the overall budget pressure caused by the delays in renting out SAC? How much of this will be addressed this financial year?</w:t>
            </w:r>
          </w:p>
        </w:tc>
        <w:tc>
          <w:tcPr>
            <w:tcW w:w="4508" w:type="dxa"/>
          </w:tcPr>
          <w:p w14:paraId="51E67041" w14:textId="5212F0CC" w:rsidR="001C73C3" w:rsidRPr="00BC0926" w:rsidRDefault="3541C536" w:rsidP="4CE6BC02">
            <w:r w:rsidRPr="4CE6BC02">
              <w:rPr>
                <w:rFonts w:ascii="Arial" w:eastAsia="Arial" w:hAnsi="Arial" w:cs="Arial"/>
                <w:sz w:val="24"/>
                <w:szCs w:val="24"/>
              </w:rPr>
              <w:lastRenderedPageBreak/>
              <w:t>Rent pressure of SAC is £</w:t>
            </w:r>
            <w:proofErr w:type="gramStart"/>
            <w:r w:rsidRPr="4CE6BC02">
              <w:rPr>
                <w:rFonts w:ascii="Arial" w:eastAsia="Arial" w:hAnsi="Arial" w:cs="Arial"/>
                <w:sz w:val="24"/>
                <w:szCs w:val="24"/>
              </w:rPr>
              <w:t>440k</w:t>
            </w:r>
            <w:proofErr w:type="gramEnd"/>
          </w:p>
          <w:p w14:paraId="3DCDCD2F" w14:textId="21C451A7" w:rsidR="001C73C3" w:rsidRPr="00BC0926" w:rsidRDefault="3541C536" w:rsidP="558A5991">
            <w:pPr>
              <w:rPr>
                <w:rFonts w:ascii="Arial" w:eastAsia="Arial" w:hAnsi="Arial" w:cs="Arial"/>
                <w:sz w:val="24"/>
                <w:szCs w:val="24"/>
              </w:rPr>
            </w:pPr>
            <w:r w:rsidRPr="782A0F6C">
              <w:rPr>
                <w:rFonts w:ascii="Arial" w:eastAsia="Arial" w:hAnsi="Arial" w:cs="Arial"/>
                <w:sz w:val="24"/>
                <w:szCs w:val="24"/>
              </w:rPr>
              <w:t>Other pressures are not getting the benefit of reduced costs for operating the building such as</w:t>
            </w:r>
            <w:r w:rsidR="7E36B88D" w:rsidRPr="782A0F6C">
              <w:rPr>
                <w:rFonts w:ascii="Arial" w:eastAsia="Arial" w:hAnsi="Arial" w:cs="Arial"/>
                <w:sz w:val="24"/>
                <w:szCs w:val="24"/>
              </w:rPr>
              <w:t xml:space="preserve"> </w:t>
            </w:r>
            <w:r w:rsidRPr="782A0F6C">
              <w:rPr>
                <w:rFonts w:ascii="Arial" w:eastAsia="Arial" w:hAnsi="Arial" w:cs="Arial"/>
                <w:sz w:val="24"/>
                <w:szCs w:val="24"/>
              </w:rPr>
              <w:t>N</w:t>
            </w:r>
            <w:r w:rsidR="52FD7184" w:rsidRPr="782A0F6C">
              <w:rPr>
                <w:rFonts w:ascii="Arial" w:eastAsia="Arial" w:hAnsi="Arial" w:cs="Arial"/>
                <w:sz w:val="24"/>
                <w:szCs w:val="24"/>
              </w:rPr>
              <w:t>on</w:t>
            </w:r>
            <w:r w:rsidR="34DE1EFA" w:rsidRPr="782A0F6C">
              <w:rPr>
                <w:rFonts w:ascii="Arial" w:eastAsia="Arial" w:hAnsi="Arial" w:cs="Arial"/>
                <w:sz w:val="24"/>
                <w:szCs w:val="24"/>
              </w:rPr>
              <w:t>-</w:t>
            </w:r>
            <w:r w:rsidRPr="782A0F6C">
              <w:rPr>
                <w:rFonts w:ascii="Arial" w:eastAsia="Arial" w:hAnsi="Arial" w:cs="Arial"/>
                <w:sz w:val="24"/>
                <w:szCs w:val="24"/>
              </w:rPr>
              <w:t>D</w:t>
            </w:r>
            <w:r w:rsidR="137F877D" w:rsidRPr="782A0F6C">
              <w:rPr>
                <w:rFonts w:ascii="Arial" w:eastAsia="Arial" w:hAnsi="Arial" w:cs="Arial"/>
                <w:sz w:val="24"/>
                <w:szCs w:val="24"/>
              </w:rPr>
              <w:t xml:space="preserve">omestic </w:t>
            </w:r>
            <w:r w:rsidRPr="782A0F6C">
              <w:rPr>
                <w:rFonts w:ascii="Arial" w:eastAsia="Arial" w:hAnsi="Arial" w:cs="Arial"/>
                <w:sz w:val="24"/>
                <w:szCs w:val="24"/>
              </w:rPr>
              <w:lastRenderedPageBreak/>
              <w:t>R</w:t>
            </w:r>
            <w:r w:rsidR="42576082" w:rsidRPr="782A0F6C">
              <w:rPr>
                <w:rFonts w:ascii="Arial" w:eastAsia="Arial" w:hAnsi="Arial" w:cs="Arial"/>
                <w:sz w:val="24"/>
                <w:szCs w:val="24"/>
              </w:rPr>
              <w:t>ates (NDR</w:t>
            </w:r>
            <w:proofErr w:type="gramStart"/>
            <w:r w:rsidR="42576082" w:rsidRPr="782A0F6C">
              <w:rPr>
                <w:rFonts w:ascii="Arial" w:eastAsia="Arial" w:hAnsi="Arial" w:cs="Arial"/>
                <w:sz w:val="24"/>
                <w:szCs w:val="24"/>
              </w:rPr>
              <w:t>)</w:t>
            </w:r>
            <w:r w:rsidRPr="782A0F6C">
              <w:rPr>
                <w:rFonts w:ascii="Arial" w:eastAsia="Arial" w:hAnsi="Arial" w:cs="Arial"/>
                <w:sz w:val="24"/>
                <w:szCs w:val="24"/>
              </w:rPr>
              <w:t>;</w:t>
            </w:r>
            <w:proofErr w:type="gramEnd"/>
            <w:r w:rsidRPr="782A0F6C">
              <w:rPr>
                <w:rFonts w:ascii="Arial" w:eastAsia="Arial" w:hAnsi="Arial" w:cs="Arial"/>
                <w:sz w:val="24"/>
                <w:szCs w:val="24"/>
              </w:rPr>
              <w:t xml:space="preserve"> utilities and caretaking. No saving will be achieved in the current financial year</w:t>
            </w:r>
            <w:r w:rsidR="711018FC" w:rsidRPr="782A0F6C">
              <w:rPr>
                <w:rFonts w:ascii="Arial" w:eastAsia="Arial" w:hAnsi="Arial" w:cs="Arial"/>
                <w:sz w:val="24"/>
                <w:szCs w:val="24"/>
              </w:rPr>
              <w:t>.</w:t>
            </w:r>
          </w:p>
        </w:tc>
      </w:tr>
      <w:tr w:rsidR="001C73C3" w:rsidRPr="00BC0926" w14:paraId="15A6F9B8" w14:textId="77777777" w:rsidTr="782A0F6C">
        <w:tc>
          <w:tcPr>
            <w:tcW w:w="4508" w:type="dxa"/>
          </w:tcPr>
          <w:p w14:paraId="4959DE5D" w14:textId="41C540FE" w:rsidR="001C73C3" w:rsidRPr="00BC0926" w:rsidRDefault="1E0BD92B" w:rsidP="001C73C3">
            <w:pPr>
              <w:pStyle w:val="ListParagraph"/>
              <w:numPr>
                <w:ilvl w:val="0"/>
                <w:numId w:val="7"/>
              </w:numPr>
              <w:rPr>
                <w:rFonts w:ascii="Arial" w:hAnsi="Arial" w:cs="Arial"/>
                <w:sz w:val="24"/>
                <w:szCs w:val="24"/>
              </w:rPr>
            </w:pPr>
            <w:r w:rsidRPr="558A5991">
              <w:rPr>
                <w:rFonts w:ascii="Arial" w:hAnsi="Arial" w:cs="Arial"/>
                <w:sz w:val="24"/>
                <w:szCs w:val="24"/>
              </w:rPr>
              <w:lastRenderedPageBreak/>
              <w:t>1-3 George Street – what are the reasons for the delays in this capital project?</w:t>
            </w:r>
          </w:p>
          <w:p w14:paraId="104AE351" w14:textId="604E9FA5" w:rsidR="001C73C3" w:rsidRPr="00BC0926" w:rsidRDefault="001C73C3" w:rsidP="00BB728E">
            <w:pPr>
              <w:rPr>
                <w:rFonts w:ascii="Arial" w:hAnsi="Arial" w:cs="Arial"/>
                <w:b/>
                <w:bCs/>
                <w:i/>
                <w:iCs/>
                <w:sz w:val="24"/>
                <w:szCs w:val="24"/>
                <w:highlight w:val="yellow"/>
              </w:rPr>
            </w:pPr>
          </w:p>
        </w:tc>
        <w:tc>
          <w:tcPr>
            <w:tcW w:w="4508" w:type="dxa"/>
          </w:tcPr>
          <w:p w14:paraId="23FF5685" w14:textId="4C0F93EA" w:rsidR="001C73C3" w:rsidRPr="00BB728E" w:rsidRDefault="00BB728E" w:rsidP="00BB728E">
            <w:pPr>
              <w:textAlignment w:val="center"/>
              <w:rPr>
                <w:rFonts w:ascii="Arial" w:eastAsia="Times New Roman" w:hAnsi="Arial" w:cs="Arial"/>
                <w:i/>
                <w:iCs/>
                <w:sz w:val="24"/>
                <w:szCs w:val="24"/>
                <w:lang w:eastAsia="en-GB"/>
              </w:rPr>
            </w:pPr>
            <w:r w:rsidRPr="001510D0">
              <w:rPr>
                <w:rFonts w:ascii="Arial" w:eastAsia="Times New Roman" w:hAnsi="Arial" w:cs="Arial"/>
                <w:i/>
                <w:iCs/>
                <w:sz w:val="24"/>
                <w:szCs w:val="24"/>
                <w:lang w:eastAsia="en-GB"/>
              </w:rPr>
              <w:t xml:space="preserve">The response to this question </w:t>
            </w:r>
            <w:r>
              <w:rPr>
                <w:rFonts w:ascii="Arial" w:eastAsia="Times New Roman" w:hAnsi="Arial" w:cs="Arial"/>
                <w:i/>
                <w:iCs/>
                <w:sz w:val="24"/>
                <w:szCs w:val="24"/>
                <w:lang w:eastAsia="en-GB"/>
              </w:rPr>
              <w:t>is</w:t>
            </w:r>
            <w:r w:rsidRPr="001510D0">
              <w:rPr>
                <w:rFonts w:ascii="Arial" w:eastAsia="Times New Roman" w:hAnsi="Arial" w:cs="Arial"/>
                <w:i/>
                <w:iCs/>
                <w:sz w:val="24"/>
                <w:szCs w:val="24"/>
                <w:lang w:eastAsia="en-GB"/>
              </w:rPr>
              <w:t xml:space="preserve"> exempt from publication </w:t>
            </w:r>
            <w:r w:rsidRPr="001510D0">
              <w:rPr>
                <w:rFonts w:ascii="Arial" w:hAnsi="Arial" w:cs="Arial"/>
                <w:i/>
                <w:iCs/>
                <w:sz w:val="24"/>
                <w:szCs w:val="24"/>
              </w:rPr>
              <w:t>pursuant to Paragraph 3 of Part 1 of Schedule 12A of the Local Government Act 1972.</w:t>
            </w:r>
          </w:p>
        </w:tc>
      </w:tr>
      <w:tr w:rsidR="001C73C3" w:rsidRPr="00BC0926" w14:paraId="1712BDBC" w14:textId="77777777" w:rsidTr="782A0F6C">
        <w:tc>
          <w:tcPr>
            <w:tcW w:w="4508" w:type="dxa"/>
          </w:tcPr>
          <w:p w14:paraId="6839E8E1" w14:textId="4C429B9C" w:rsidR="001C73C3" w:rsidRPr="00BC0926" w:rsidRDefault="1E0BD92B" w:rsidP="001C73C3">
            <w:pPr>
              <w:pStyle w:val="ListParagraph"/>
              <w:numPr>
                <w:ilvl w:val="0"/>
                <w:numId w:val="7"/>
              </w:numPr>
              <w:rPr>
                <w:rFonts w:ascii="Arial" w:hAnsi="Arial" w:cs="Arial"/>
                <w:sz w:val="24"/>
                <w:szCs w:val="24"/>
              </w:rPr>
            </w:pPr>
            <w:r w:rsidRPr="558A5991">
              <w:rPr>
                <w:rFonts w:ascii="Arial" w:hAnsi="Arial" w:cs="Arial"/>
                <w:sz w:val="24"/>
                <w:szCs w:val="24"/>
              </w:rPr>
              <w:t>Realistically, how much of the £1.993m new efficiencies and transformation savings introduced or continuing in 2023/24 will be achieved?</w:t>
            </w:r>
          </w:p>
        </w:tc>
        <w:tc>
          <w:tcPr>
            <w:tcW w:w="4508" w:type="dxa"/>
          </w:tcPr>
          <w:p w14:paraId="10A7F946" w14:textId="31726A1C" w:rsidR="001C73C3" w:rsidRPr="00BC0926" w:rsidRDefault="1D34020C" w:rsidP="782A0F6C">
            <w:pPr>
              <w:rPr>
                <w:rFonts w:ascii="Arial" w:hAnsi="Arial" w:cs="Arial"/>
                <w:sz w:val="24"/>
                <w:szCs w:val="24"/>
              </w:rPr>
            </w:pPr>
            <w:r w:rsidRPr="782A0F6C">
              <w:rPr>
                <w:rFonts w:ascii="Arial" w:hAnsi="Arial" w:cs="Arial"/>
                <w:sz w:val="24"/>
                <w:szCs w:val="24"/>
              </w:rPr>
              <w:t>£1.103m will be achieved</w:t>
            </w:r>
            <w:r w:rsidR="6665C3C4" w:rsidRPr="782A0F6C">
              <w:rPr>
                <w:rFonts w:ascii="Arial" w:hAnsi="Arial" w:cs="Arial"/>
                <w:sz w:val="24"/>
                <w:szCs w:val="24"/>
              </w:rPr>
              <w:t>. Shortfalls include procurement and additional savings and income arising from the letting of SAC</w:t>
            </w:r>
            <w:r w:rsidR="09250C85" w:rsidRPr="782A0F6C">
              <w:rPr>
                <w:rFonts w:ascii="Arial" w:hAnsi="Arial" w:cs="Arial"/>
                <w:sz w:val="24"/>
                <w:szCs w:val="24"/>
              </w:rPr>
              <w:t>.</w:t>
            </w:r>
          </w:p>
        </w:tc>
      </w:tr>
      <w:tr w:rsidR="001C1B9B" w:rsidRPr="00BC0926" w14:paraId="758F725F" w14:textId="77777777" w:rsidTr="782A0F6C">
        <w:tc>
          <w:tcPr>
            <w:tcW w:w="9016" w:type="dxa"/>
            <w:gridSpan w:val="2"/>
            <w:shd w:val="clear" w:color="auto" w:fill="D9E2F3" w:themeFill="accent1" w:themeFillTint="33"/>
          </w:tcPr>
          <w:p w14:paraId="4EECDCC7" w14:textId="77777777" w:rsidR="001C1B9B" w:rsidRPr="00BC0926" w:rsidRDefault="001C1B9B">
            <w:pPr>
              <w:rPr>
                <w:rFonts w:ascii="Arial" w:hAnsi="Arial" w:cs="Arial"/>
                <w:b/>
                <w:bCs/>
                <w:sz w:val="24"/>
                <w:szCs w:val="24"/>
              </w:rPr>
            </w:pPr>
          </w:p>
          <w:p w14:paraId="502B1BC4" w14:textId="77777777" w:rsidR="001C1B9B" w:rsidRPr="00BC0926" w:rsidRDefault="001C1B9B">
            <w:pPr>
              <w:rPr>
                <w:rFonts w:ascii="Arial" w:hAnsi="Arial" w:cs="Arial"/>
                <w:sz w:val="24"/>
                <w:szCs w:val="24"/>
                <w:u w:val="single"/>
              </w:rPr>
            </w:pPr>
            <w:r w:rsidRPr="00BC0926">
              <w:rPr>
                <w:rFonts w:ascii="Arial" w:hAnsi="Arial" w:cs="Arial"/>
                <w:sz w:val="24"/>
                <w:szCs w:val="24"/>
                <w:u w:val="single"/>
              </w:rPr>
              <w:t>General Fund</w:t>
            </w:r>
          </w:p>
          <w:p w14:paraId="1788C8E3" w14:textId="306C9208" w:rsidR="001C1B9B" w:rsidRPr="00BC0926" w:rsidRDefault="001C1B9B">
            <w:pPr>
              <w:rPr>
                <w:rFonts w:ascii="Arial" w:hAnsi="Arial" w:cs="Arial"/>
                <w:sz w:val="24"/>
                <w:szCs w:val="24"/>
                <w:u w:val="single"/>
              </w:rPr>
            </w:pPr>
          </w:p>
        </w:tc>
      </w:tr>
      <w:tr w:rsidR="00EC7905" w:rsidRPr="00BC0926" w14:paraId="7597A3E4" w14:textId="77777777" w:rsidTr="782A0F6C">
        <w:tc>
          <w:tcPr>
            <w:tcW w:w="4508" w:type="dxa"/>
          </w:tcPr>
          <w:p w14:paraId="38C67937" w14:textId="2CB3BFF0" w:rsidR="00EC7905" w:rsidRPr="00BC0926" w:rsidRDefault="35692711" w:rsidP="001C73C3">
            <w:pPr>
              <w:pStyle w:val="ListParagraph"/>
              <w:numPr>
                <w:ilvl w:val="0"/>
                <w:numId w:val="7"/>
              </w:numPr>
              <w:rPr>
                <w:rFonts w:ascii="Arial" w:hAnsi="Arial" w:cs="Arial"/>
                <w:sz w:val="24"/>
                <w:szCs w:val="24"/>
              </w:rPr>
            </w:pPr>
            <w:r w:rsidRPr="558A5991">
              <w:rPr>
                <w:rFonts w:ascii="Arial" w:hAnsi="Arial" w:cs="Arial"/>
                <w:sz w:val="24"/>
                <w:szCs w:val="24"/>
              </w:rPr>
              <w:t>What is the situation regarding Cowley Branch Line contracts? Has everyone signed now?</w:t>
            </w:r>
          </w:p>
        </w:tc>
        <w:tc>
          <w:tcPr>
            <w:tcW w:w="4508" w:type="dxa"/>
          </w:tcPr>
          <w:p w14:paraId="43E7936F" w14:textId="2F4335D3" w:rsidR="00EC7905" w:rsidRPr="00BC0926" w:rsidRDefault="205A95E5" w:rsidP="3FA070B9">
            <w:pPr>
              <w:rPr>
                <w:rFonts w:ascii="Arial" w:eastAsia="Arial" w:hAnsi="Arial" w:cs="Arial"/>
                <w:color w:val="000000" w:themeColor="text1"/>
                <w:sz w:val="24"/>
                <w:szCs w:val="24"/>
              </w:rPr>
            </w:pPr>
            <w:r w:rsidRPr="782A0F6C">
              <w:rPr>
                <w:rFonts w:ascii="Arial" w:eastAsia="Arial" w:hAnsi="Arial" w:cs="Arial"/>
                <w:color w:val="000000" w:themeColor="text1"/>
                <w:sz w:val="24"/>
                <w:szCs w:val="24"/>
              </w:rPr>
              <w:t>We entered into a Collaboration Agreement (CA) with key landowners on 29 March 2023, further information</w:t>
            </w:r>
            <w:r w:rsidR="68777F1D" w:rsidRPr="782A0F6C">
              <w:rPr>
                <w:rFonts w:ascii="Arial" w:eastAsia="Arial" w:hAnsi="Arial" w:cs="Arial"/>
                <w:color w:val="000000" w:themeColor="text1"/>
                <w:sz w:val="24"/>
                <w:szCs w:val="24"/>
              </w:rPr>
              <w:t xml:space="preserve"> is available</w:t>
            </w:r>
            <w:r w:rsidRPr="782A0F6C">
              <w:rPr>
                <w:rFonts w:ascii="Arial" w:eastAsia="Arial" w:hAnsi="Arial" w:cs="Arial"/>
                <w:color w:val="000000" w:themeColor="text1"/>
                <w:sz w:val="24"/>
                <w:szCs w:val="24"/>
              </w:rPr>
              <w:t xml:space="preserve"> </w:t>
            </w:r>
            <w:hyperlink r:id="rId5">
              <w:r w:rsidRPr="782A0F6C">
                <w:rPr>
                  <w:rStyle w:val="Hyperlink"/>
                  <w:rFonts w:ascii="Arial" w:eastAsia="Arial" w:hAnsi="Arial" w:cs="Arial"/>
                  <w:color w:val="0000FF"/>
                  <w:sz w:val="24"/>
                  <w:szCs w:val="24"/>
                </w:rPr>
                <w:t>here</w:t>
              </w:r>
            </w:hyperlink>
            <w:r w:rsidRPr="782A0F6C">
              <w:rPr>
                <w:rFonts w:ascii="Arial" w:eastAsia="Arial" w:hAnsi="Arial" w:cs="Arial"/>
                <w:color w:val="000000" w:themeColor="text1"/>
                <w:sz w:val="24"/>
                <w:szCs w:val="24"/>
              </w:rPr>
              <w:t>.</w:t>
            </w:r>
          </w:p>
          <w:p w14:paraId="4263A16E" w14:textId="5BB278D2" w:rsidR="00EC7905" w:rsidRPr="00BC0926" w:rsidRDefault="205A95E5" w:rsidP="3FA070B9">
            <w:pPr>
              <w:rPr>
                <w:rFonts w:ascii="Arial" w:eastAsia="Arial" w:hAnsi="Arial" w:cs="Arial"/>
                <w:color w:val="000000" w:themeColor="text1"/>
                <w:sz w:val="24"/>
                <w:szCs w:val="24"/>
              </w:rPr>
            </w:pPr>
            <w:r w:rsidRPr="782A0F6C">
              <w:rPr>
                <w:rFonts w:ascii="Times New Roman" w:eastAsia="Times New Roman" w:hAnsi="Times New Roman" w:cs="Times New Roman"/>
                <w:color w:val="000000" w:themeColor="text1"/>
                <w:sz w:val="13"/>
                <w:szCs w:val="13"/>
              </w:rPr>
              <w:t xml:space="preserve"> </w:t>
            </w:r>
            <w:r w:rsidRPr="782A0F6C">
              <w:rPr>
                <w:rFonts w:ascii="Arial" w:eastAsia="Arial" w:hAnsi="Arial" w:cs="Arial"/>
                <w:color w:val="000000" w:themeColor="text1"/>
                <w:sz w:val="24"/>
                <w:szCs w:val="24"/>
              </w:rPr>
              <w:t>We signed a Development Services Agreement with Network Rail (</w:t>
            </w:r>
            <w:proofErr w:type="spellStart"/>
            <w:r w:rsidRPr="782A0F6C">
              <w:rPr>
                <w:rFonts w:ascii="Arial" w:eastAsia="Arial" w:hAnsi="Arial" w:cs="Arial"/>
                <w:color w:val="000000" w:themeColor="text1"/>
                <w:sz w:val="24"/>
                <w:szCs w:val="24"/>
              </w:rPr>
              <w:t>NwR</w:t>
            </w:r>
            <w:proofErr w:type="spellEnd"/>
            <w:r w:rsidRPr="782A0F6C">
              <w:rPr>
                <w:rFonts w:ascii="Arial" w:eastAsia="Arial" w:hAnsi="Arial" w:cs="Arial"/>
                <w:color w:val="000000" w:themeColor="text1"/>
                <w:sz w:val="24"/>
                <w:szCs w:val="24"/>
              </w:rPr>
              <w:t xml:space="preserve">) on 29 March 2023 for the delivery of the Full Business Case, </w:t>
            </w:r>
            <w:r w:rsidR="2672D107" w:rsidRPr="782A0F6C">
              <w:rPr>
                <w:rFonts w:ascii="Arial" w:eastAsia="Arial" w:hAnsi="Arial" w:cs="Arial"/>
                <w:color w:val="000000" w:themeColor="text1"/>
                <w:sz w:val="24"/>
                <w:szCs w:val="24"/>
              </w:rPr>
              <w:t xml:space="preserve">a copy of the </w:t>
            </w:r>
            <w:r w:rsidRPr="782A0F6C">
              <w:rPr>
                <w:rFonts w:ascii="Arial" w:eastAsia="Arial" w:hAnsi="Arial" w:cs="Arial"/>
                <w:color w:val="000000" w:themeColor="text1"/>
                <w:sz w:val="24"/>
                <w:szCs w:val="24"/>
              </w:rPr>
              <w:t>decision notice</w:t>
            </w:r>
            <w:r w:rsidR="04EB501C" w:rsidRPr="782A0F6C">
              <w:rPr>
                <w:rFonts w:ascii="Arial" w:eastAsia="Arial" w:hAnsi="Arial" w:cs="Arial"/>
                <w:color w:val="000000" w:themeColor="text1"/>
                <w:sz w:val="24"/>
                <w:szCs w:val="24"/>
              </w:rPr>
              <w:t xml:space="preserve"> is available</w:t>
            </w:r>
            <w:r w:rsidRPr="782A0F6C">
              <w:rPr>
                <w:rFonts w:ascii="Arial" w:eastAsia="Arial" w:hAnsi="Arial" w:cs="Arial"/>
                <w:color w:val="000000" w:themeColor="text1"/>
                <w:sz w:val="24"/>
                <w:szCs w:val="24"/>
              </w:rPr>
              <w:t xml:space="preserve"> </w:t>
            </w:r>
            <w:hyperlink r:id="rId6">
              <w:r w:rsidRPr="782A0F6C">
                <w:rPr>
                  <w:rStyle w:val="Hyperlink"/>
                  <w:rFonts w:ascii="Arial" w:eastAsia="Arial" w:hAnsi="Arial" w:cs="Arial"/>
                  <w:color w:val="0000FF"/>
                  <w:sz w:val="24"/>
                  <w:szCs w:val="24"/>
                </w:rPr>
                <w:t>here</w:t>
              </w:r>
            </w:hyperlink>
            <w:r w:rsidRPr="782A0F6C">
              <w:rPr>
                <w:rFonts w:ascii="Arial" w:eastAsia="Arial" w:hAnsi="Arial" w:cs="Arial"/>
                <w:color w:val="000000" w:themeColor="text1"/>
                <w:sz w:val="24"/>
                <w:szCs w:val="24"/>
              </w:rPr>
              <w:t>.</w:t>
            </w:r>
          </w:p>
          <w:p w14:paraId="62B7DB03" w14:textId="26A3F289" w:rsidR="00EC7905" w:rsidRPr="00BC0926" w:rsidRDefault="205A95E5" w:rsidP="3FA070B9">
            <w:pPr>
              <w:rPr>
                <w:rFonts w:ascii="Arial" w:eastAsia="Arial" w:hAnsi="Arial" w:cs="Arial"/>
                <w:color w:val="000000" w:themeColor="text1"/>
                <w:sz w:val="24"/>
                <w:szCs w:val="24"/>
              </w:rPr>
            </w:pPr>
            <w:r w:rsidRPr="782A0F6C">
              <w:rPr>
                <w:rFonts w:ascii="Arial" w:eastAsia="Arial" w:hAnsi="Arial" w:cs="Arial"/>
                <w:color w:val="000000" w:themeColor="text1"/>
                <w:sz w:val="24"/>
                <w:szCs w:val="24"/>
              </w:rPr>
              <w:t xml:space="preserve">We signed a Memorandum of Understanding with </w:t>
            </w:r>
            <w:r w:rsidR="15F2394D" w:rsidRPr="782A0F6C">
              <w:rPr>
                <w:rFonts w:ascii="Arial" w:eastAsia="Arial" w:hAnsi="Arial" w:cs="Arial"/>
                <w:color w:val="000000" w:themeColor="text1"/>
                <w:sz w:val="24"/>
                <w:szCs w:val="24"/>
              </w:rPr>
              <w:t xml:space="preserve">Oxfordshire </w:t>
            </w:r>
            <w:r w:rsidRPr="782A0F6C">
              <w:rPr>
                <w:rFonts w:ascii="Arial" w:eastAsia="Arial" w:hAnsi="Arial" w:cs="Arial"/>
                <w:color w:val="000000" w:themeColor="text1"/>
                <w:sz w:val="24"/>
                <w:szCs w:val="24"/>
              </w:rPr>
              <w:t xml:space="preserve">County </w:t>
            </w:r>
            <w:r w:rsidR="39E7AA08" w:rsidRPr="782A0F6C">
              <w:rPr>
                <w:rFonts w:ascii="Arial" w:eastAsia="Arial" w:hAnsi="Arial" w:cs="Arial"/>
                <w:color w:val="000000" w:themeColor="text1"/>
                <w:sz w:val="24"/>
                <w:szCs w:val="24"/>
              </w:rPr>
              <w:t xml:space="preserve">Council </w:t>
            </w:r>
            <w:r w:rsidRPr="782A0F6C">
              <w:rPr>
                <w:rFonts w:ascii="Arial" w:eastAsia="Arial" w:hAnsi="Arial" w:cs="Arial"/>
                <w:color w:val="000000" w:themeColor="text1"/>
                <w:sz w:val="24"/>
                <w:szCs w:val="24"/>
              </w:rPr>
              <w:t xml:space="preserve">on </w:t>
            </w:r>
            <w:r w:rsidR="767627CE" w:rsidRPr="782A0F6C">
              <w:rPr>
                <w:rFonts w:ascii="Arial" w:eastAsia="Arial" w:hAnsi="Arial" w:cs="Arial"/>
                <w:color w:val="000000" w:themeColor="text1"/>
                <w:sz w:val="24"/>
                <w:szCs w:val="24"/>
              </w:rPr>
              <w:t>02</w:t>
            </w:r>
            <w:r w:rsidRPr="782A0F6C">
              <w:rPr>
                <w:rFonts w:ascii="Arial" w:eastAsia="Arial" w:hAnsi="Arial" w:cs="Arial"/>
                <w:color w:val="000000" w:themeColor="text1"/>
                <w:sz w:val="24"/>
                <w:szCs w:val="24"/>
              </w:rPr>
              <w:t xml:space="preserve"> March 2023.</w:t>
            </w:r>
          </w:p>
          <w:p w14:paraId="3EA73001" w14:textId="2EA797F5" w:rsidR="00EC7905" w:rsidRPr="00BC0926" w:rsidRDefault="205A95E5" w:rsidP="3FA070B9">
            <w:pPr>
              <w:rPr>
                <w:rFonts w:ascii="Arial" w:eastAsia="Arial" w:hAnsi="Arial" w:cs="Arial"/>
                <w:color w:val="000000" w:themeColor="text1"/>
                <w:sz w:val="24"/>
                <w:szCs w:val="24"/>
              </w:rPr>
            </w:pPr>
            <w:r w:rsidRPr="782A0F6C">
              <w:rPr>
                <w:rFonts w:ascii="Arial" w:eastAsia="Arial" w:hAnsi="Arial" w:cs="Arial"/>
                <w:color w:val="000000" w:themeColor="text1"/>
                <w:sz w:val="24"/>
                <w:szCs w:val="24"/>
              </w:rPr>
              <w:t xml:space="preserve">As per </w:t>
            </w:r>
            <w:r w:rsidR="7F51A555" w:rsidRPr="782A0F6C">
              <w:rPr>
                <w:rFonts w:ascii="Arial" w:eastAsia="Arial" w:hAnsi="Arial" w:cs="Arial"/>
                <w:color w:val="000000" w:themeColor="text1"/>
                <w:sz w:val="24"/>
                <w:szCs w:val="24"/>
              </w:rPr>
              <w:t xml:space="preserve">the </w:t>
            </w:r>
            <w:r w:rsidRPr="782A0F6C">
              <w:rPr>
                <w:rFonts w:ascii="Arial" w:eastAsia="Arial" w:hAnsi="Arial" w:cs="Arial"/>
                <w:color w:val="000000" w:themeColor="text1"/>
                <w:sz w:val="24"/>
                <w:szCs w:val="24"/>
              </w:rPr>
              <w:t>CA we are</w:t>
            </w:r>
            <w:r w:rsidR="2A2E665D" w:rsidRPr="782A0F6C">
              <w:rPr>
                <w:rFonts w:ascii="Arial" w:eastAsia="Arial" w:hAnsi="Arial" w:cs="Arial"/>
                <w:color w:val="000000" w:themeColor="text1"/>
                <w:sz w:val="24"/>
                <w:szCs w:val="24"/>
              </w:rPr>
              <w:t>,</w:t>
            </w:r>
            <w:r w:rsidRPr="782A0F6C">
              <w:rPr>
                <w:rFonts w:ascii="Arial" w:eastAsia="Arial" w:hAnsi="Arial" w:cs="Arial"/>
                <w:color w:val="000000" w:themeColor="text1"/>
                <w:sz w:val="24"/>
                <w:szCs w:val="24"/>
              </w:rPr>
              <w:t xml:space="preserve"> on a case</w:t>
            </w:r>
            <w:r w:rsidR="6BFBABC1" w:rsidRPr="782A0F6C">
              <w:rPr>
                <w:rFonts w:ascii="Arial" w:eastAsia="Arial" w:hAnsi="Arial" w:cs="Arial"/>
                <w:color w:val="000000" w:themeColor="text1"/>
                <w:sz w:val="24"/>
                <w:szCs w:val="24"/>
              </w:rPr>
              <w:t>-</w:t>
            </w:r>
            <w:r w:rsidRPr="782A0F6C">
              <w:rPr>
                <w:rFonts w:ascii="Arial" w:eastAsia="Arial" w:hAnsi="Arial" w:cs="Arial"/>
                <w:color w:val="000000" w:themeColor="text1"/>
                <w:sz w:val="24"/>
                <w:szCs w:val="24"/>
              </w:rPr>
              <w:t>by</w:t>
            </w:r>
            <w:r w:rsidR="0DFF2EF8" w:rsidRPr="782A0F6C">
              <w:rPr>
                <w:rFonts w:ascii="Arial" w:eastAsia="Arial" w:hAnsi="Arial" w:cs="Arial"/>
                <w:color w:val="000000" w:themeColor="text1"/>
                <w:sz w:val="24"/>
                <w:szCs w:val="24"/>
              </w:rPr>
              <w:t>-</w:t>
            </w:r>
            <w:r w:rsidRPr="782A0F6C">
              <w:rPr>
                <w:rFonts w:ascii="Arial" w:eastAsia="Arial" w:hAnsi="Arial" w:cs="Arial"/>
                <w:color w:val="000000" w:themeColor="text1"/>
                <w:sz w:val="24"/>
                <w:szCs w:val="24"/>
              </w:rPr>
              <w:t xml:space="preserve">case basis, working with the Cowley Branch Line’s Programme Panel for the best use of the Infrastructure Place Study budget </w:t>
            </w:r>
            <w:r w:rsidR="7AFEAA76" w:rsidRPr="782A0F6C">
              <w:rPr>
                <w:rFonts w:ascii="Arial" w:eastAsia="Arial" w:hAnsi="Arial" w:cs="Arial"/>
                <w:color w:val="000000" w:themeColor="text1"/>
                <w:sz w:val="24"/>
                <w:szCs w:val="24"/>
              </w:rPr>
              <w:t xml:space="preserve">(£985k) </w:t>
            </w:r>
            <w:r w:rsidRPr="782A0F6C">
              <w:rPr>
                <w:rFonts w:ascii="Arial" w:eastAsia="Arial" w:hAnsi="Arial" w:cs="Arial"/>
                <w:color w:val="000000" w:themeColor="text1"/>
                <w:sz w:val="24"/>
                <w:szCs w:val="24"/>
              </w:rPr>
              <w:t xml:space="preserve">which will involve additional contracts. </w:t>
            </w:r>
          </w:p>
          <w:p w14:paraId="31250E05" w14:textId="42620212" w:rsidR="00EC7905" w:rsidRPr="00BC0926" w:rsidRDefault="33655EF5" w:rsidP="3FA070B9">
            <w:pPr>
              <w:rPr>
                <w:rFonts w:ascii="Arial" w:eastAsia="Arial" w:hAnsi="Arial" w:cs="Arial"/>
                <w:color w:val="000000" w:themeColor="text1"/>
                <w:sz w:val="24"/>
                <w:szCs w:val="24"/>
              </w:rPr>
            </w:pPr>
            <w:r w:rsidRPr="782A0F6C">
              <w:rPr>
                <w:rFonts w:ascii="Arial" w:eastAsia="Arial" w:hAnsi="Arial" w:cs="Arial"/>
                <w:color w:val="000000" w:themeColor="text1"/>
                <w:sz w:val="24"/>
                <w:szCs w:val="24"/>
              </w:rPr>
              <w:t>A p</w:t>
            </w:r>
            <w:r w:rsidR="205A95E5" w:rsidRPr="782A0F6C">
              <w:rPr>
                <w:rFonts w:ascii="Arial" w:eastAsia="Arial" w:hAnsi="Arial" w:cs="Arial"/>
                <w:color w:val="000000" w:themeColor="text1"/>
                <w:sz w:val="24"/>
                <w:szCs w:val="24"/>
              </w:rPr>
              <w:t>roject webpage</w:t>
            </w:r>
            <w:r w:rsidR="010E2AA7" w:rsidRPr="782A0F6C">
              <w:rPr>
                <w:rFonts w:ascii="Arial" w:eastAsia="Arial" w:hAnsi="Arial" w:cs="Arial"/>
                <w:color w:val="000000" w:themeColor="text1"/>
                <w:sz w:val="24"/>
                <w:szCs w:val="24"/>
              </w:rPr>
              <w:t xml:space="preserve"> is</w:t>
            </w:r>
            <w:r w:rsidR="205A95E5" w:rsidRPr="782A0F6C">
              <w:rPr>
                <w:rFonts w:ascii="Arial" w:eastAsia="Arial" w:hAnsi="Arial" w:cs="Arial"/>
                <w:color w:val="000000" w:themeColor="text1"/>
                <w:sz w:val="24"/>
                <w:szCs w:val="24"/>
              </w:rPr>
              <w:t xml:space="preserve"> in development which will make </w:t>
            </w:r>
            <w:r w:rsidR="7130C021" w:rsidRPr="782A0F6C">
              <w:rPr>
                <w:rFonts w:ascii="Arial" w:eastAsia="Arial" w:hAnsi="Arial" w:cs="Arial"/>
                <w:color w:val="000000" w:themeColor="text1"/>
                <w:sz w:val="24"/>
                <w:szCs w:val="24"/>
              </w:rPr>
              <w:t>th</w:t>
            </w:r>
            <w:r w:rsidR="205A95E5" w:rsidRPr="782A0F6C">
              <w:rPr>
                <w:rFonts w:ascii="Arial" w:eastAsia="Arial" w:hAnsi="Arial" w:cs="Arial"/>
                <w:color w:val="000000" w:themeColor="text1"/>
                <w:sz w:val="24"/>
                <w:szCs w:val="24"/>
              </w:rPr>
              <w:t>is more visible to the public.</w:t>
            </w:r>
            <w:r w:rsidR="3CD0CCEC" w:rsidRPr="782A0F6C">
              <w:rPr>
                <w:rFonts w:ascii="Arial" w:eastAsia="Arial" w:hAnsi="Arial" w:cs="Arial"/>
                <w:color w:val="000000" w:themeColor="text1"/>
                <w:sz w:val="24"/>
                <w:szCs w:val="24"/>
              </w:rPr>
              <w:t xml:space="preserve"> </w:t>
            </w:r>
          </w:p>
        </w:tc>
      </w:tr>
      <w:tr w:rsidR="001C1B9B" w:rsidRPr="00BC0926" w14:paraId="2189CA90" w14:textId="77777777" w:rsidTr="782A0F6C">
        <w:tc>
          <w:tcPr>
            <w:tcW w:w="9016" w:type="dxa"/>
            <w:gridSpan w:val="2"/>
            <w:shd w:val="clear" w:color="auto" w:fill="D9E2F3" w:themeFill="accent1" w:themeFillTint="33"/>
          </w:tcPr>
          <w:p w14:paraId="2C6C867D" w14:textId="77777777" w:rsidR="001C1B9B" w:rsidRPr="00BC0926" w:rsidRDefault="001C1B9B">
            <w:pPr>
              <w:rPr>
                <w:rFonts w:ascii="Arial" w:hAnsi="Arial" w:cs="Arial"/>
                <w:b/>
                <w:bCs/>
                <w:sz w:val="24"/>
                <w:szCs w:val="24"/>
              </w:rPr>
            </w:pPr>
          </w:p>
          <w:p w14:paraId="4B05F6E5" w14:textId="77777777" w:rsidR="001C1B9B" w:rsidRPr="00BC0926" w:rsidRDefault="001C1B9B">
            <w:pPr>
              <w:rPr>
                <w:rFonts w:ascii="Arial" w:hAnsi="Arial" w:cs="Arial"/>
                <w:sz w:val="24"/>
                <w:szCs w:val="24"/>
                <w:u w:val="single"/>
              </w:rPr>
            </w:pPr>
            <w:r w:rsidRPr="00BC0926">
              <w:rPr>
                <w:rFonts w:ascii="Arial" w:hAnsi="Arial" w:cs="Arial"/>
                <w:sz w:val="24"/>
                <w:szCs w:val="24"/>
                <w:u w:val="single"/>
              </w:rPr>
              <w:t>HRA</w:t>
            </w:r>
          </w:p>
          <w:p w14:paraId="4521175B" w14:textId="755EA5A7" w:rsidR="001C1B9B" w:rsidRPr="00BC0926" w:rsidRDefault="001C1B9B">
            <w:pPr>
              <w:rPr>
                <w:rFonts w:ascii="Arial" w:hAnsi="Arial" w:cs="Arial"/>
                <w:sz w:val="24"/>
                <w:szCs w:val="24"/>
                <w:u w:val="single"/>
              </w:rPr>
            </w:pPr>
          </w:p>
        </w:tc>
      </w:tr>
      <w:tr w:rsidR="00A82BC6" w:rsidRPr="00BC0926" w14:paraId="6032FB63" w14:textId="77777777" w:rsidTr="782A0F6C">
        <w:tc>
          <w:tcPr>
            <w:tcW w:w="4508" w:type="dxa"/>
          </w:tcPr>
          <w:p w14:paraId="1141EF17" w14:textId="2B690508" w:rsidR="00A82BC6" w:rsidRPr="00BC0926" w:rsidRDefault="63060A05" w:rsidP="00EC7905">
            <w:pPr>
              <w:numPr>
                <w:ilvl w:val="0"/>
                <w:numId w:val="7"/>
              </w:numPr>
              <w:textAlignment w:val="center"/>
              <w:rPr>
                <w:rFonts w:ascii="Arial" w:eastAsia="Times New Roman" w:hAnsi="Arial" w:cs="Arial"/>
                <w:sz w:val="24"/>
                <w:szCs w:val="24"/>
                <w:lang w:eastAsia="en-GB"/>
              </w:rPr>
            </w:pPr>
            <w:r w:rsidRPr="558A5991">
              <w:rPr>
                <w:rFonts w:ascii="Arial" w:eastAsia="Times New Roman" w:hAnsi="Arial" w:cs="Arial"/>
                <w:sz w:val="24"/>
                <w:szCs w:val="24"/>
                <w:lang w:eastAsia="en-GB"/>
              </w:rPr>
              <w:t xml:space="preserve">Paragraph 12 – There is a very large overspend in relation to Cyclical and Responsive Repairs (ODS). Can an update be provided on where the Council is in relation to negotiating a </w:t>
            </w:r>
            <w:r w:rsidRPr="558A5991">
              <w:rPr>
                <w:rFonts w:ascii="Arial" w:eastAsia="Times New Roman" w:hAnsi="Arial" w:cs="Arial"/>
                <w:sz w:val="24"/>
                <w:szCs w:val="24"/>
                <w:lang w:eastAsia="en-GB"/>
              </w:rPr>
              <w:lastRenderedPageBreak/>
              <w:t>deal that benefits tenants’ interests versus overspend on maintenance?</w:t>
            </w:r>
          </w:p>
        </w:tc>
        <w:tc>
          <w:tcPr>
            <w:tcW w:w="4508" w:type="dxa"/>
          </w:tcPr>
          <w:p w14:paraId="297DF529" w14:textId="087438FE" w:rsidR="00A82BC6" w:rsidRPr="00BC0926" w:rsidRDefault="072A5D04" w:rsidP="3FA070B9">
            <w:pPr>
              <w:rPr>
                <w:rFonts w:ascii="Arial" w:eastAsia="Arial" w:hAnsi="Arial" w:cs="Arial"/>
                <w:sz w:val="24"/>
                <w:szCs w:val="24"/>
              </w:rPr>
            </w:pPr>
            <w:r w:rsidRPr="782A0F6C">
              <w:rPr>
                <w:rFonts w:ascii="Arial" w:eastAsia="Arial" w:hAnsi="Arial" w:cs="Arial"/>
                <w:color w:val="000000" w:themeColor="text1"/>
                <w:sz w:val="24"/>
                <w:szCs w:val="24"/>
              </w:rPr>
              <w:lastRenderedPageBreak/>
              <w:t xml:space="preserve">In 2023-24, certain programmes of work have had to be suspended </w:t>
            </w:r>
            <w:proofErr w:type="gramStart"/>
            <w:r w:rsidRPr="782A0F6C">
              <w:rPr>
                <w:rFonts w:ascii="Arial" w:eastAsia="Arial" w:hAnsi="Arial" w:cs="Arial"/>
                <w:color w:val="000000" w:themeColor="text1"/>
                <w:sz w:val="24"/>
                <w:szCs w:val="24"/>
              </w:rPr>
              <w:t>in order to</w:t>
            </w:r>
            <w:proofErr w:type="gramEnd"/>
            <w:r w:rsidRPr="782A0F6C">
              <w:rPr>
                <w:rFonts w:ascii="Arial" w:eastAsia="Arial" w:hAnsi="Arial" w:cs="Arial"/>
                <w:color w:val="000000" w:themeColor="text1"/>
                <w:sz w:val="24"/>
                <w:szCs w:val="24"/>
              </w:rPr>
              <w:t xml:space="preserve"> manage the overspend linked to Responsive Repairs. Going forward, OCC has commissioned stock condition surveys, which are currently underway, </w:t>
            </w:r>
            <w:r w:rsidRPr="782A0F6C">
              <w:rPr>
                <w:rFonts w:ascii="Arial" w:eastAsia="Arial" w:hAnsi="Arial" w:cs="Arial"/>
                <w:color w:val="000000" w:themeColor="text1"/>
                <w:sz w:val="24"/>
                <w:szCs w:val="24"/>
              </w:rPr>
              <w:lastRenderedPageBreak/>
              <w:t>to enable the Council to produce accurate and enhanced capital programmes from 2024-25 onwards</w:t>
            </w:r>
            <w:r w:rsidR="6BA3ADC2" w:rsidRPr="782A0F6C">
              <w:rPr>
                <w:rFonts w:ascii="Arial" w:eastAsia="Arial" w:hAnsi="Arial" w:cs="Arial"/>
                <w:color w:val="000000" w:themeColor="text1"/>
                <w:sz w:val="24"/>
                <w:szCs w:val="24"/>
              </w:rPr>
              <w:t>.</w:t>
            </w:r>
            <w:r w:rsidRPr="782A0F6C">
              <w:rPr>
                <w:rFonts w:ascii="Arial" w:eastAsia="Arial" w:hAnsi="Arial" w:cs="Arial"/>
                <w:color w:val="000000" w:themeColor="text1"/>
                <w:sz w:val="24"/>
                <w:szCs w:val="24"/>
              </w:rPr>
              <w:t xml:space="preserve"> </w:t>
            </w:r>
            <w:r w:rsidRPr="782A0F6C">
              <w:rPr>
                <w:rFonts w:ascii="Arial" w:eastAsia="Arial" w:hAnsi="Arial" w:cs="Arial"/>
                <w:sz w:val="24"/>
                <w:szCs w:val="24"/>
              </w:rPr>
              <w:t xml:space="preserve"> </w:t>
            </w:r>
          </w:p>
        </w:tc>
      </w:tr>
      <w:tr w:rsidR="00EC7905" w:rsidRPr="00BC0926" w14:paraId="09B65022" w14:textId="77777777" w:rsidTr="782A0F6C">
        <w:tc>
          <w:tcPr>
            <w:tcW w:w="4508" w:type="dxa"/>
          </w:tcPr>
          <w:p w14:paraId="0887AD4F" w14:textId="0E15B8D0" w:rsidR="00EC7905" w:rsidRPr="00BC0926" w:rsidRDefault="35692711" w:rsidP="00EC7905">
            <w:pPr>
              <w:numPr>
                <w:ilvl w:val="0"/>
                <w:numId w:val="7"/>
              </w:numPr>
              <w:textAlignment w:val="center"/>
              <w:rPr>
                <w:rFonts w:ascii="Arial" w:eastAsia="Times New Roman" w:hAnsi="Arial" w:cs="Arial"/>
                <w:sz w:val="24"/>
                <w:szCs w:val="24"/>
                <w:lang w:eastAsia="en-GB"/>
              </w:rPr>
            </w:pPr>
            <w:r w:rsidRPr="558A5991">
              <w:rPr>
                <w:rFonts w:ascii="Arial" w:eastAsia="Times New Roman" w:hAnsi="Arial" w:cs="Arial"/>
                <w:sz w:val="24"/>
                <w:szCs w:val="24"/>
                <w:lang w:eastAsia="en-GB"/>
              </w:rPr>
              <w:lastRenderedPageBreak/>
              <w:t>What impact will pausing the delivery of Plastering, Painting and Joinery and the Great Estates Capital Programme have, outside of generating an underspend? Will there be an adverse impact on tenants?</w:t>
            </w:r>
          </w:p>
        </w:tc>
        <w:tc>
          <w:tcPr>
            <w:tcW w:w="4508" w:type="dxa"/>
          </w:tcPr>
          <w:p w14:paraId="58107070" w14:textId="4FDB5F96" w:rsidR="00EC7905" w:rsidRPr="00BC0926" w:rsidRDefault="657F8745" w:rsidP="3FA070B9">
            <w:r w:rsidRPr="3FA070B9">
              <w:rPr>
                <w:rFonts w:ascii="Arial" w:eastAsia="Arial" w:hAnsi="Arial" w:cs="Arial"/>
                <w:color w:val="000000" w:themeColor="text1"/>
                <w:sz w:val="24"/>
                <w:szCs w:val="24"/>
              </w:rPr>
              <w:t xml:space="preserve">The pausing of both these programmes will have a minimal impact as the intention is that from </w:t>
            </w:r>
            <w:proofErr w:type="gramStart"/>
            <w:r w:rsidRPr="3FA070B9">
              <w:rPr>
                <w:rFonts w:ascii="Arial" w:eastAsia="Arial" w:hAnsi="Arial" w:cs="Arial"/>
                <w:color w:val="000000" w:themeColor="text1"/>
                <w:sz w:val="24"/>
                <w:szCs w:val="24"/>
              </w:rPr>
              <w:t>2024-25</w:t>
            </w:r>
            <w:proofErr w:type="gramEnd"/>
            <w:r w:rsidRPr="3FA070B9">
              <w:rPr>
                <w:rFonts w:ascii="Arial" w:eastAsia="Arial" w:hAnsi="Arial" w:cs="Arial"/>
                <w:color w:val="000000" w:themeColor="text1"/>
                <w:sz w:val="24"/>
                <w:szCs w:val="24"/>
              </w:rPr>
              <w:t xml:space="preserve"> they will both form part of capital programmes of works which will deliver the work in a more planned and efficient way.  </w:t>
            </w:r>
            <w:r w:rsidRPr="3FA070B9">
              <w:rPr>
                <w:rFonts w:ascii="Arial" w:eastAsia="Arial" w:hAnsi="Arial" w:cs="Arial"/>
                <w:sz w:val="24"/>
                <w:szCs w:val="24"/>
              </w:rPr>
              <w:t xml:space="preserve"> </w:t>
            </w:r>
          </w:p>
        </w:tc>
      </w:tr>
      <w:tr w:rsidR="00EC7905" w:rsidRPr="00BC0926" w14:paraId="3E699AFC" w14:textId="77777777" w:rsidTr="782A0F6C">
        <w:tc>
          <w:tcPr>
            <w:tcW w:w="4508" w:type="dxa"/>
          </w:tcPr>
          <w:p w14:paraId="5A860081" w14:textId="3E71199D" w:rsidR="00EC7905" w:rsidRPr="00BC0926" w:rsidRDefault="35692711" w:rsidP="00EC7905">
            <w:pPr>
              <w:numPr>
                <w:ilvl w:val="0"/>
                <w:numId w:val="7"/>
              </w:numPr>
              <w:textAlignment w:val="center"/>
              <w:rPr>
                <w:rFonts w:ascii="Arial" w:eastAsia="Times New Roman" w:hAnsi="Arial" w:cs="Arial"/>
                <w:sz w:val="24"/>
                <w:szCs w:val="24"/>
                <w:lang w:eastAsia="en-GB"/>
              </w:rPr>
            </w:pPr>
            <w:r w:rsidRPr="558A5991">
              <w:rPr>
                <w:rFonts w:ascii="Arial" w:eastAsia="Times New Roman" w:hAnsi="Arial" w:cs="Arial"/>
                <w:sz w:val="24"/>
                <w:szCs w:val="24"/>
                <w:lang w:eastAsia="en-GB"/>
              </w:rPr>
              <w:t>What steps have been taken to ensure that the HRA budgets reported and approved by Council and the HRA Business Plan are correctly aligned going forward, after the oversight described in paragraph 13 of the report? Can this oversight be explained? Could it have led to a worse impact than it has - what is the level of risk associated with this kind of oversight?</w:t>
            </w:r>
          </w:p>
        </w:tc>
        <w:tc>
          <w:tcPr>
            <w:tcW w:w="4508" w:type="dxa"/>
          </w:tcPr>
          <w:p w14:paraId="0B4A774A" w14:textId="1C1EBA0E" w:rsidR="00EC7905" w:rsidRPr="00BC0926" w:rsidRDefault="7ACF6BEC" w:rsidP="3FA070B9">
            <w:pPr>
              <w:rPr>
                <w:rFonts w:ascii="Arial" w:eastAsia="Arial" w:hAnsi="Arial" w:cs="Arial"/>
                <w:color w:val="000000" w:themeColor="text1"/>
                <w:sz w:val="24"/>
                <w:szCs w:val="24"/>
              </w:rPr>
            </w:pPr>
            <w:r w:rsidRPr="3FA070B9">
              <w:rPr>
                <w:rFonts w:ascii="Arial" w:eastAsia="Arial" w:hAnsi="Arial" w:cs="Arial"/>
                <w:color w:val="000000" w:themeColor="text1"/>
                <w:sz w:val="24"/>
                <w:szCs w:val="24"/>
              </w:rPr>
              <w:t>Those involved in producing the report to Council are now fully aware of the need to confirm that the correct version of the budget table is being used for the budget report.</w:t>
            </w:r>
          </w:p>
          <w:p w14:paraId="62859F9A" w14:textId="191A6CB6" w:rsidR="00EC7905" w:rsidRPr="00BC0926" w:rsidRDefault="7ACF6BEC" w:rsidP="3FA070B9">
            <w:pPr>
              <w:rPr>
                <w:rFonts w:ascii="Arial" w:eastAsia="Arial" w:hAnsi="Arial" w:cs="Arial"/>
                <w:color w:val="000000" w:themeColor="text1"/>
                <w:sz w:val="24"/>
                <w:szCs w:val="24"/>
              </w:rPr>
            </w:pPr>
            <w:r w:rsidRPr="3FA070B9">
              <w:rPr>
                <w:rFonts w:ascii="Arial" w:eastAsia="Arial" w:hAnsi="Arial" w:cs="Arial"/>
                <w:color w:val="000000" w:themeColor="text1"/>
                <w:sz w:val="24"/>
                <w:szCs w:val="24"/>
              </w:rPr>
              <w:t>The oversight was that an earlier version of the table from the HRA Business Plan was included in the budget report where the total budgeted surplus coincided with the correct version of the table, and it was not immediately obvious that the wrong version was being used.</w:t>
            </w:r>
          </w:p>
          <w:p w14:paraId="0D8D8C5F" w14:textId="1327ED98" w:rsidR="00EC7905" w:rsidRPr="00BC0926" w:rsidRDefault="7ACF6BEC" w:rsidP="3FA070B9">
            <w:pPr>
              <w:rPr>
                <w:rFonts w:ascii="Arial" w:eastAsia="Arial" w:hAnsi="Arial" w:cs="Arial"/>
                <w:color w:val="000000" w:themeColor="text1"/>
                <w:sz w:val="24"/>
                <w:szCs w:val="24"/>
              </w:rPr>
            </w:pPr>
            <w:r w:rsidRPr="3FA070B9">
              <w:rPr>
                <w:rFonts w:ascii="Arial" w:eastAsia="Arial" w:hAnsi="Arial" w:cs="Arial"/>
                <w:color w:val="000000" w:themeColor="text1"/>
                <w:sz w:val="24"/>
                <w:szCs w:val="24"/>
              </w:rPr>
              <w:t xml:space="preserve">Overall, the HRA budget was balanced - it was just that some of the budget lines were not showing the correct amounts. </w:t>
            </w:r>
          </w:p>
          <w:p w14:paraId="61CE3239" w14:textId="7B66459A" w:rsidR="00EC7905" w:rsidRPr="00BC0926" w:rsidRDefault="7ACF6BEC" w:rsidP="3FA070B9">
            <w:pPr>
              <w:rPr>
                <w:rFonts w:ascii="Arial" w:eastAsia="Arial" w:hAnsi="Arial" w:cs="Arial"/>
                <w:sz w:val="24"/>
                <w:szCs w:val="24"/>
              </w:rPr>
            </w:pPr>
            <w:r w:rsidRPr="3FA070B9">
              <w:rPr>
                <w:rFonts w:ascii="Arial" w:eastAsia="Arial" w:hAnsi="Arial" w:cs="Arial"/>
                <w:color w:val="000000" w:themeColor="text1"/>
                <w:sz w:val="24"/>
                <w:szCs w:val="24"/>
              </w:rPr>
              <w:t>The predominant risk of this error would be that services could potentially be cut due to an insufficient budget. However, the budgets that were loaded into the finance system were based on the correct version of what had been worked up, and it was only when the Q1 reporting totals did not match to the budget lines approved at the Council meeting that the error was spotted.</w:t>
            </w:r>
          </w:p>
        </w:tc>
      </w:tr>
      <w:tr w:rsidR="00EC7905" w:rsidRPr="00BC0926" w14:paraId="1186E2AB" w14:textId="77777777" w:rsidTr="782A0F6C">
        <w:tc>
          <w:tcPr>
            <w:tcW w:w="4508" w:type="dxa"/>
          </w:tcPr>
          <w:p w14:paraId="64F181F1" w14:textId="0537CF0C" w:rsidR="00EC7905" w:rsidRPr="00BC0926" w:rsidRDefault="35692711" w:rsidP="00EC7905">
            <w:pPr>
              <w:numPr>
                <w:ilvl w:val="0"/>
                <w:numId w:val="7"/>
              </w:numPr>
              <w:textAlignment w:val="center"/>
              <w:rPr>
                <w:rFonts w:ascii="Arial" w:eastAsia="Times New Roman" w:hAnsi="Arial" w:cs="Arial"/>
                <w:sz w:val="24"/>
                <w:szCs w:val="24"/>
                <w:lang w:eastAsia="en-GB"/>
              </w:rPr>
            </w:pPr>
            <w:r w:rsidRPr="558A5991">
              <w:rPr>
                <w:rFonts w:ascii="Arial" w:eastAsia="Times New Roman" w:hAnsi="Arial" w:cs="Arial"/>
                <w:sz w:val="24"/>
                <w:szCs w:val="24"/>
                <w:lang w:eastAsia="en-GB"/>
              </w:rPr>
              <w:t>What is the background to the Barton Park loans for OX Place?</w:t>
            </w:r>
          </w:p>
        </w:tc>
        <w:tc>
          <w:tcPr>
            <w:tcW w:w="4508" w:type="dxa"/>
          </w:tcPr>
          <w:p w14:paraId="3321505A" w14:textId="137B80C8" w:rsidR="00EC7905" w:rsidRPr="00BC0926" w:rsidRDefault="3BB7B578" w:rsidP="3FA070B9">
            <w:pPr>
              <w:rPr>
                <w:rFonts w:ascii="Arial" w:eastAsia="Arial" w:hAnsi="Arial" w:cs="Arial"/>
                <w:sz w:val="24"/>
                <w:szCs w:val="24"/>
              </w:rPr>
            </w:pPr>
            <w:r w:rsidRPr="782A0F6C">
              <w:rPr>
                <w:rFonts w:ascii="Arial" w:eastAsia="Arial" w:hAnsi="Arial" w:cs="Arial"/>
                <w:sz w:val="24"/>
                <w:szCs w:val="24"/>
              </w:rPr>
              <w:t xml:space="preserve">The Council provides loans to its Housing Company </w:t>
            </w:r>
            <w:proofErr w:type="gramStart"/>
            <w:r w:rsidRPr="782A0F6C">
              <w:rPr>
                <w:rFonts w:ascii="Arial" w:eastAsia="Arial" w:hAnsi="Arial" w:cs="Arial"/>
                <w:sz w:val="24"/>
                <w:szCs w:val="24"/>
              </w:rPr>
              <w:t>in order to</w:t>
            </w:r>
            <w:proofErr w:type="gramEnd"/>
            <w:r w:rsidRPr="782A0F6C">
              <w:rPr>
                <w:rFonts w:ascii="Arial" w:eastAsia="Arial" w:hAnsi="Arial" w:cs="Arial"/>
                <w:sz w:val="24"/>
                <w:szCs w:val="24"/>
              </w:rPr>
              <w:t xml:space="preserve"> purchase the social housing units from the Barton Park development. The loans are provided at an interest rate on the prevailing Public Works Loans Board rate plus a mark-up to make the rate charged equivalent to a market rate.  This is </w:t>
            </w:r>
            <w:proofErr w:type="gramStart"/>
            <w:r w:rsidRPr="782A0F6C">
              <w:rPr>
                <w:rFonts w:ascii="Arial" w:eastAsia="Arial" w:hAnsi="Arial" w:cs="Arial"/>
                <w:sz w:val="24"/>
                <w:szCs w:val="24"/>
              </w:rPr>
              <w:t>in order to</w:t>
            </w:r>
            <w:proofErr w:type="gramEnd"/>
            <w:r w:rsidRPr="782A0F6C">
              <w:rPr>
                <w:rFonts w:ascii="Arial" w:eastAsia="Arial" w:hAnsi="Arial" w:cs="Arial"/>
                <w:sz w:val="24"/>
                <w:szCs w:val="24"/>
              </w:rPr>
              <w:t xml:space="preserve"> align with arms-length principles in order to comply with HMRC and subsidy control rules.</w:t>
            </w:r>
          </w:p>
          <w:p w14:paraId="2012EFD1" w14:textId="33DD2654" w:rsidR="00EC7905" w:rsidRPr="00BC0926" w:rsidRDefault="2C8842AD" w:rsidP="4CE6BC02">
            <w:pPr>
              <w:rPr>
                <w:rFonts w:ascii="Arial" w:eastAsia="Arial" w:hAnsi="Arial" w:cs="Arial"/>
                <w:sz w:val="24"/>
                <w:szCs w:val="24"/>
              </w:rPr>
            </w:pPr>
            <w:r w:rsidRPr="782A0F6C">
              <w:rPr>
                <w:rFonts w:ascii="Arial" w:eastAsia="Arial" w:hAnsi="Arial" w:cs="Arial"/>
                <w:color w:val="000000" w:themeColor="text1"/>
                <w:sz w:val="24"/>
                <w:szCs w:val="24"/>
              </w:rPr>
              <w:t xml:space="preserve">The Barton Park loans represent the procurement of finance undertaken by OX Place for the acquisition of the </w:t>
            </w:r>
            <w:r w:rsidRPr="782A0F6C">
              <w:rPr>
                <w:rFonts w:ascii="Arial" w:eastAsia="Arial" w:hAnsi="Arial" w:cs="Arial"/>
                <w:color w:val="000000" w:themeColor="text1"/>
                <w:sz w:val="24"/>
                <w:szCs w:val="24"/>
              </w:rPr>
              <w:lastRenderedPageBreak/>
              <w:t xml:space="preserve">social housing provision from each tranche of development at Barton Park. There is an agreement that OX Place will acquire all 354 social housing units from all the individual developments at this location. As at the end of 2022/23 we had acquired 126 units. This was slightly lower than planned and as such the value of loans acquired last financial year was lower, hence the year-end variance experienced. Please note neither OX Place nor the Council can influence the progress associated with this activity as it is 100% development led. The programme of building the units of accommodation is completely controlled by developers. Given the numbers of dwellings and associated loans </w:t>
            </w:r>
            <w:proofErr w:type="gramStart"/>
            <w:r w:rsidRPr="782A0F6C">
              <w:rPr>
                <w:rFonts w:ascii="Arial" w:eastAsia="Arial" w:hAnsi="Arial" w:cs="Arial"/>
                <w:color w:val="000000" w:themeColor="text1"/>
                <w:sz w:val="24"/>
                <w:szCs w:val="24"/>
              </w:rPr>
              <w:t>were</w:t>
            </w:r>
            <w:proofErr w:type="gramEnd"/>
            <w:r w:rsidRPr="782A0F6C">
              <w:rPr>
                <w:rFonts w:ascii="Arial" w:eastAsia="Arial" w:hAnsi="Arial" w:cs="Arial"/>
                <w:color w:val="000000" w:themeColor="text1"/>
                <w:sz w:val="24"/>
                <w:szCs w:val="24"/>
              </w:rPr>
              <w:t xml:space="preserve"> lower last year there is an expectation this will be caught up in the new financial year, 2023/24, hence the carry forward of last year</w:t>
            </w:r>
            <w:r w:rsidR="1EFE5743" w:rsidRPr="782A0F6C">
              <w:rPr>
                <w:rFonts w:ascii="Arial" w:eastAsia="Arial" w:hAnsi="Arial" w:cs="Arial"/>
                <w:color w:val="000000" w:themeColor="text1"/>
                <w:sz w:val="24"/>
                <w:szCs w:val="24"/>
              </w:rPr>
              <w:t>’</w:t>
            </w:r>
            <w:r w:rsidRPr="782A0F6C">
              <w:rPr>
                <w:rFonts w:ascii="Arial" w:eastAsia="Arial" w:hAnsi="Arial" w:cs="Arial"/>
                <w:color w:val="000000" w:themeColor="text1"/>
                <w:sz w:val="24"/>
                <w:szCs w:val="24"/>
              </w:rPr>
              <w:t>s unspent provision. We do receive updates of development progress from developers periodically through the year and if things materially change from the current position this will subsequently be reported in future performance reports.</w:t>
            </w:r>
          </w:p>
        </w:tc>
      </w:tr>
      <w:tr w:rsidR="00EC7905" w:rsidRPr="00BC0926" w14:paraId="56A285D3" w14:textId="77777777" w:rsidTr="782A0F6C">
        <w:tc>
          <w:tcPr>
            <w:tcW w:w="4508" w:type="dxa"/>
          </w:tcPr>
          <w:p w14:paraId="24240FAA" w14:textId="3EDD9984" w:rsidR="00EC7905" w:rsidRPr="00BC0926" w:rsidRDefault="669F77BC" w:rsidP="00F545E4">
            <w:pPr>
              <w:numPr>
                <w:ilvl w:val="0"/>
                <w:numId w:val="7"/>
              </w:numPr>
              <w:textAlignment w:val="center"/>
              <w:rPr>
                <w:rFonts w:ascii="Arial" w:eastAsia="Times New Roman" w:hAnsi="Arial" w:cs="Arial"/>
                <w:sz w:val="24"/>
                <w:szCs w:val="24"/>
                <w:lang w:eastAsia="en-GB"/>
              </w:rPr>
            </w:pPr>
            <w:r w:rsidRPr="558A5991">
              <w:rPr>
                <w:rFonts w:ascii="Arial" w:eastAsia="Times New Roman" w:hAnsi="Arial" w:cs="Arial"/>
                <w:sz w:val="24"/>
                <w:szCs w:val="24"/>
                <w:lang w:eastAsia="en-GB"/>
              </w:rPr>
              <w:lastRenderedPageBreak/>
              <w:t>How many schemes have been paused? What is their value?</w:t>
            </w:r>
          </w:p>
        </w:tc>
        <w:tc>
          <w:tcPr>
            <w:tcW w:w="4508" w:type="dxa"/>
          </w:tcPr>
          <w:p w14:paraId="1679B85D" w14:textId="2F97AEC7" w:rsidR="00EC7905" w:rsidRPr="00BC0926" w:rsidRDefault="7D30CF19" w:rsidP="2CA5FEDC">
            <w:pPr>
              <w:spacing w:line="259" w:lineRule="auto"/>
              <w:rPr>
                <w:rFonts w:ascii="Arial" w:hAnsi="Arial" w:cs="Arial"/>
                <w:sz w:val="24"/>
                <w:szCs w:val="24"/>
              </w:rPr>
            </w:pPr>
            <w:r w:rsidRPr="782A0F6C">
              <w:rPr>
                <w:rFonts w:ascii="Arial" w:hAnsi="Arial" w:cs="Arial"/>
                <w:sz w:val="24"/>
                <w:szCs w:val="24"/>
              </w:rPr>
              <w:t>Only two – Paint</w:t>
            </w:r>
            <w:r w:rsidR="646AC7F3" w:rsidRPr="782A0F6C">
              <w:rPr>
                <w:rFonts w:ascii="Arial" w:hAnsi="Arial" w:cs="Arial"/>
                <w:sz w:val="24"/>
                <w:szCs w:val="24"/>
              </w:rPr>
              <w:t>ing</w:t>
            </w:r>
            <w:r w:rsidRPr="782A0F6C">
              <w:rPr>
                <w:rFonts w:ascii="Arial" w:hAnsi="Arial" w:cs="Arial"/>
                <w:sz w:val="24"/>
                <w:szCs w:val="24"/>
              </w:rPr>
              <w:t xml:space="preserve"> and Joinery c£1m and Great Estates</w:t>
            </w:r>
            <w:r w:rsidR="4E7B17FC" w:rsidRPr="782A0F6C">
              <w:rPr>
                <w:rFonts w:ascii="Arial" w:hAnsi="Arial" w:cs="Arial"/>
                <w:sz w:val="24"/>
                <w:szCs w:val="24"/>
              </w:rPr>
              <w:t xml:space="preserve"> </w:t>
            </w:r>
            <w:r w:rsidR="7F453679" w:rsidRPr="782A0F6C">
              <w:rPr>
                <w:rFonts w:ascii="Arial" w:hAnsi="Arial" w:cs="Arial"/>
                <w:sz w:val="24"/>
                <w:szCs w:val="24"/>
              </w:rPr>
              <w:t>c£400k</w:t>
            </w:r>
            <w:r w:rsidR="3C717CEB" w:rsidRPr="782A0F6C">
              <w:rPr>
                <w:rFonts w:ascii="Arial" w:hAnsi="Arial" w:cs="Arial"/>
                <w:sz w:val="24"/>
                <w:szCs w:val="24"/>
              </w:rPr>
              <w:t>.</w:t>
            </w:r>
          </w:p>
        </w:tc>
      </w:tr>
      <w:tr w:rsidR="001C1B9B" w:rsidRPr="00BC0926" w14:paraId="246730D4" w14:textId="77777777" w:rsidTr="782A0F6C">
        <w:tc>
          <w:tcPr>
            <w:tcW w:w="9016" w:type="dxa"/>
            <w:gridSpan w:val="2"/>
            <w:shd w:val="clear" w:color="auto" w:fill="D9E2F3" w:themeFill="accent1" w:themeFillTint="33"/>
          </w:tcPr>
          <w:p w14:paraId="61C8EFC5" w14:textId="77777777" w:rsidR="001C1B9B" w:rsidRPr="00BC0926" w:rsidRDefault="001C1B9B">
            <w:pPr>
              <w:rPr>
                <w:rFonts w:ascii="Arial" w:hAnsi="Arial" w:cs="Arial"/>
                <w:b/>
                <w:bCs/>
                <w:sz w:val="24"/>
                <w:szCs w:val="24"/>
              </w:rPr>
            </w:pPr>
          </w:p>
          <w:p w14:paraId="5AFDBCBE" w14:textId="77777777" w:rsidR="001C1B9B" w:rsidRPr="00BC0926" w:rsidRDefault="001C1B9B">
            <w:pPr>
              <w:rPr>
                <w:rFonts w:ascii="Arial" w:hAnsi="Arial" w:cs="Arial"/>
                <w:sz w:val="24"/>
                <w:szCs w:val="24"/>
                <w:u w:val="single"/>
              </w:rPr>
            </w:pPr>
            <w:r w:rsidRPr="00BC0926">
              <w:rPr>
                <w:rFonts w:ascii="Arial" w:hAnsi="Arial" w:cs="Arial"/>
                <w:sz w:val="24"/>
                <w:szCs w:val="24"/>
                <w:u w:val="single"/>
              </w:rPr>
              <w:t>Capital</w:t>
            </w:r>
          </w:p>
          <w:p w14:paraId="2C8C7B69" w14:textId="74BB92DA" w:rsidR="001C1B9B" w:rsidRPr="00BC0926" w:rsidRDefault="001C1B9B">
            <w:pPr>
              <w:rPr>
                <w:rFonts w:ascii="Arial" w:hAnsi="Arial" w:cs="Arial"/>
                <w:sz w:val="24"/>
                <w:szCs w:val="24"/>
                <w:u w:val="single"/>
              </w:rPr>
            </w:pPr>
          </w:p>
        </w:tc>
      </w:tr>
      <w:tr w:rsidR="00F545E4" w:rsidRPr="00BC0926" w14:paraId="470B6215" w14:textId="77777777" w:rsidTr="782A0F6C">
        <w:tc>
          <w:tcPr>
            <w:tcW w:w="4508" w:type="dxa"/>
          </w:tcPr>
          <w:p w14:paraId="1766C62C" w14:textId="7C699035" w:rsidR="00F545E4" w:rsidRPr="00BC0926" w:rsidRDefault="669F77BC" w:rsidP="00F545E4">
            <w:pPr>
              <w:numPr>
                <w:ilvl w:val="0"/>
                <w:numId w:val="7"/>
              </w:numPr>
              <w:textAlignment w:val="center"/>
              <w:rPr>
                <w:rFonts w:ascii="Arial" w:eastAsia="Times New Roman" w:hAnsi="Arial" w:cs="Arial"/>
                <w:sz w:val="24"/>
                <w:szCs w:val="24"/>
                <w:lang w:eastAsia="en-GB"/>
              </w:rPr>
            </w:pPr>
            <w:r w:rsidRPr="558A5991">
              <w:rPr>
                <w:rFonts w:ascii="Arial" w:eastAsia="Times New Roman" w:hAnsi="Arial" w:cs="Arial"/>
                <w:sz w:val="24"/>
                <w:szCs w:val="24"/>
                <w:lang w:eastAsia="en-GB"/>
              </w:rPr>
              <w:t xml:space="preserve">In paragraph 15 of the report percentage spend has been provided to date, it would be helpful if the forecast outturn and slippage were also presented as a percentage of overall budget to enable better comparison. Does the Council believe that the shortfall so </w:t>
            </w:r>
            <w:proofErr w:type="gramStart"/>
            <w:r w:rsidRPr="558A5991">
              <w:rPr>
                <w:rFonts w:ascii="Arial" w:eastAsia="Times New Roman" w:hAnsi="Arial" w:cs="Arial"/>
                <w:sz w:val="24"/>
                <w:szCs w:val="24"/>
                <w:lang w:eastAsia="en-GB"/>
              </w:rPr>
              <w:t>far</w:t>
            </w:r>
            <w:proofErr w:type="gramEnd"/>
            <w:r w:rsidRPr="558A5991">
              <w:rPr>
                <w:rFonts w:ascii="Arial" w:eastAsia="Times New Roman" w:hAnsi="Arial" w:cs="Arial"/>
                <w:sz w:val="24"/>
                <w:szCs w:val="24"/>
                <w:lang w:eastAsia="en-GB"/>
              </w:rPr>
              <w:t xml:space="preserve"> this financial year will be clawed back?</w:t>
            </w:r>
          </w:p>
        </w:tc>
        <w:tc>
          <w:tcPr>
            <w:tcW w:w="4508" w:type="dxa"/>
          </w:tcPr>
          <w:p w14:paraId="5CCD3231" w14:textId="57F08EC9" w:rsidR="00F545E4" w:rsidRPr="00BC0926" w:rsidRDefault="230FAD25" w:rsidP="2CA5FEDC">
            <w:pPr>
              <w:rPr>
                <w:rFonts w:ascii="Arial" w:hAnsi="Arial" w:cs="Arial"/>
                <w:sz w:val="24"/>
                <w:szCs w:val="24"/>
              </w:rPr>
            </w:pPr>
            <w:r w:rsidRPr="782A0F6C">
              <w:rPr>
                <w:rFonts w:ascii="Arial" w:hAnsi="Arial" w:cs="Arial"/>
                <w:sz w:val="24"/>
                <w:szCs w:val="24"/>
              </w:rPr>
              <w:t xml:space="preserve">It is likely that there will be further slippage </w:t>
            </w:r>
            <w:r w:rsidR="18B08EC0" w:rsidRPr="782A0F6C">
              <w:rPr>
                <w:rFonts w:ascii="Arial" w:hAnsi="Arial" w:cs="Arial"/>
                <w:sz w:val="24"/>
                <w:szCs w:val="24"/>
              </w:rPr>
              <w:t>in the capital programme as the year progresses. T</w:t>
            </w:r>
            <w:r w:rsidR="0BAD2F12" w:rsidRPr="782A0F6C">
              <w:rPr>
                <w:rFonts w:ascii="Arial" w:hAnsi="Arial" w:cs="Arial"/>
                <w:sz w:val="24"/>
                <w:szCs w:val="24"/>
              </w:rPr>
              <w:t>h</w:t>
            </w:r>
            <w:r w:rsidR="65BD146D" w:rsidRPr="782A0F6C">
              <w:rPr>
                <w:rFonts w:ascii="Arial" w:hAnsi="Arial" w:cs="Arial"/>
                <w:sz w:val="24"/>
                <w:szCs w:val="24"/>
              </w:rPr>
              <w:t>ere is considerable development within the programme and</w:t>
            </w:r>
            <w:r w:rsidR="69EC371A" w:rsidRPr="782A0F6C">
              <w:rPr>
                <w:rFonts w:ascii="Arial" w:hAnsi="Arial" w:cs="Arial"/>
                <w:sz w:val="24"/>
                <w:szCs w:val="24"/>
              </w:rPr>
              <w:t>,</w:t>
            </w:r>
            <w:r w:rsidR="65BD146D" w:rsidRPr="782A0F6C">
              <w:rPr>
                <w:rFonts w:ascii="Arial" w:hAnsi="Arial" w:cs="Arial"/>
                <w:sz w:val="24"/>
                <w:szCs w:val="24"/>
              </w:rPr>
              <w:t xml:space="preserve"> as with </w:t>
            </w:r>
            <w:r w:rsidR="450F8706" w:rsidRPr="782A0F6C">
              <w:rPr>
                <w:rFonts w:ascii="Arial" w:hAnsi="Arial" w:cs="Arial"/>
                <w:sz w:val="24"/>
                <w:szCs w:val="24"/>
              </w:rPr>
              <w:t>any development</w:t>
            </w:r>
            <w:r w:rsidR="734C8A5E" w:rsidRPr="782A0F6C">
              <w:rPr>
                <w:rFonts w:ascii="Arial" w:hAnsi="Arial" w:cs="Arial"/>
                <w:sz w:val="24"/>
                <w:szCs w:val="24"/>
              </w:rPr>
              <w:t>,</w:t>
            </w:r>
            <w:r w:rsidR="450F8706" w:rsidRPr="782A0F6C">
              <w:rPr>
                <w:rFonts w:ascii="Arial" w:hAnsi="Arial" w:cs="Arial"/>
                <w:sz w:val="24"/>
                <w:szCs w:val="24"/>
              </w:rPr>
              <w:t xml:space="preserve"> </w:t>
            </w:r>
            <w:proofErr w:type="gramStart"/>
            <w:r w:rsidR="450F8706" w:rsidRPr="782A0F6C">
              <w:rPr>
                <w:rFonts w:ascii="Arial" w:hAnsi="Arial" w:cs="Arial"/>
                <w:sz w:val="24"/>
                <w:szCs w:val="24"/>
              </w:rPr>
              <w:t xml:space="preserve">a number </w:t>
            </w:r>
            <w:r w:rsidR="65E8FCB5" w:rsidRPr="782A0F6C">
              <w:rPr>
                <w:rFonts w:ascii="Arial" w:hAnsi="Arial" w:cs="Arial"/>
                <w:sz w:val="24"/>
                <w:szCs w:val="24"/>
              </w:rPr>
              <w:t>of</w:t>
            </w:r>
            <w:proofErr w:type="gramEnd"/>
            <w:r w:rsidR="65E8FCB5" w:rsidRPr="782A0F6C">
              <w:rPr>
                <w:rFonts w:ascii="Arial" w:hAnsi="Arial" w:cs="Arial"/>
                <w:sz w:val="24"/>
                <w:szCs w:val="24"/>
              </w:rPr>
              <w:t xml:space="preserve"> </w:t>
            </w:r>
            <w:r w:rsidR="450F8706" w:rsidRPr="782A0F6C">
              <w:rPr>
                <w:rFonts w:ascii="Arial" w:hAnsi="Arial" w:cs="Arial"/>
                <w:sz w:val="24"/>
                <w:szCs w:val="24"/>
              </w:rPr>
              <w:t xml:space="preserve">issues that may arise. This is compounded by the amount of loans which the council is making to its wholly owned company for the housing development. </w:t>
            </w:r>
            <w:r w:rsidR="1E7F955D" w:rsidRPr="782A0F6C">
              <w:rPr>
                <w:rFonts w:ascii="Arial" w:hAnsi="Arial" w:cs="Arial"/>
                <w:sz w:val="24"/>
                <w:szCs w:val="24"/>
              </w:rPr>
              <w:t xml:space="preserve">The Council will continue to work on moving schemes on as soon as it can and </w:t>
            </w:r>
            <w:r w:rsidR="6FD40B98" w:rsidRPr="782A0F6C">
              <w:rPr>
                <w:rFonts w:ascii="Arial" w:hAnsi="Arial" w:cs="Arial"/>
                <w:sz w:val="24"/>
                <w:szCs w:val="24"/>
              </w:rPr>
              <w:t>has taken steps to improve monitoring as explained below. In addition</w:t>
            </w:r>
            <w:r w:rsidR="6050A933" w:rsidRPr="782A0F6C">
              <w:rPr>
                <w:rFonts w:ascii="Arial" w:hAnsi="Arial" w:cs="Arial"/>
                <w:sz w:val="24"/>
                <w:szCs w:val="24"/>
              </w:rPr>
              <w:t>,</w:t>
            </w:r>
            <w:r w:rsidR="6FD40B98" w:rsidRPr="782A0F6C">
              <w:rPr>
                <w:rFonts w:ascii="Arial" w:hAnsi="Arial" w:cs="Arial"/>
                <w:sz w:val="24"/>
                <w:szCs w:val="24"/>
              </w:rPr>
              <w:t xml:space="preserve"> </w:t>
            </w:r>
            <w:r w:rsidR="1E7F955D" w:rsidRPr="782A0F6C">
              <w:rPr>
                <w:rFonts w:ascii="Arial" w:hAnsi="Arial" w:cs="Arial"/>
                <w:sz w:val="24"/>
                <w:szCs w:val="24"/>
              </w:rPr>
              <w:t xml:space="preserve">it will look at the level of ‘optimism </w:t>
            </w:r>
            <w:proofErr w:type="spellStart"/>
            <w:r w:rsidR="1E7F955D" w:rsidRPr="782A0F6C">
              <w:rPr>
                <w:rFonts w:ascii="Arial" w:hAnsi="Arial" w:cs="Arial"/>
                <w:sz w:val="24"/>
                <w:szCs w:val="24"/>
              </w:rPr>
              <w:t>bias’</w:t>
            </w:r>
            <w:proofErr w:type="spellEnd"/>
            <w:r w:rsidR="1E7F955D" w:rsidRPr="782A0F6C">
              <w:rPr>
                <w:rFonts w:ascii="Arial" w:hAnsi="Arial" w:cs="Arial"/>
                <w:sz w:val="24"/>
                <w:szCs w:val="24"/>
              </w:rPr>
              <w:t xml:space="preserve"> it s</w:t>
            </w:r>
            <w:r w:rsidR="6306DED0" w:rsidRPr="782A0F6C">
              <w:rPr>
                <w:rFonts w:ascii="Arial" w:hAnsi="Arial" w:cs="Arial"/>
                <w:sz w:val="24"/>
                <w:szCs w:val="24"/>
              </w:rPr>
              <w:t xml:space="preserve">hould build in when it is setting its budget in </w:t>
            </w:r>
            <w:r w:rsidR="6306DED0" w:rsidRPr="782A0F6C">
              <w:rPr>
                <w:rFonts w:ascii="Arial" w:hAnsi="Arial" w:cs="Arial"/>
                <w:sz w:val="24"/>
                <w:szCs w:val="24"/>
              </w:rPr>
              <w:lastRenderedPageBreak/>
              <w:t xml:space="preserve">future years. </w:t>
            </w:r>
            <w:r w:rsidR="44894C16" w:rsidRPr="782A0F6C">
              <w:rPr>
                <w:rFonts w:ascii="Arial" w:hAnsi="Arial" w:cs="Arial"/>
                <w:sz w:val="24"/>
                <w:szCs w:val="24"/>
              </w:rPr>
              <w:t>It is unlikely that the slippage for this year will be clawed back in</w:t>
            </w:r>
            <w:r w:rsidR="2E73808E" w:rsidRPr="782A0F6C">
              <w:rPr>
                <w:rFonts w:ascii="Arial" w:hAnsi="Arial" w:cs="Arial"/>
                <w:sz w:val="24"/>
                <w:szCs w:val="24"/>
              </w:rPr>
              <w:t>-</w:t>
            </w:r>
            <w:r w:rsidR="44894C16" w:rsidRPr="782A0F6C">
              <w:rPr>
                <w:rFonts w:ascii="Arial" w:hAnsi="Arial" w:cs="Arial"/>
                <w:sz w:val="24"/>
                <w:szCs w:val="24"/>
              </w:rPr>
              <w:t>year.</w:t>
            </w:r>
          </w:p>
        </w:tc>
      </w:tr>
      <w:tr w:rsidR="00F545E4" w:rsidRPr="00BC0926" w14:paraId="08BCC893" w14:textId="77777777" w:rsidTr="782A0F6C">
        <w:tc>
          <w:tcPr>
            <w:tcW w:w="4508" w:type="dxa"/>
          </w:tcPr>
          <w:p w14:paraId="018B5E2C" w14:textId="195F6F9D" w:rsidR="00F545E4" w:rsidRPr="00BC0926" w:rsidRDefault="669F77BC" w:rsidP="00F545E4">
            <w:pPr>
              <w:numPr>
                <w:ilvl w:val="0"/>
                <w:numId w:val="7"/>
              </w:numPr>
              <w:textAlignment w:val="center"/>
              <w:rPr>
                <w:rFonts w:ascii="Arial" w:eastAsia="Times New Roman" w:hAnsi="Arial" w:cs="Arial"/>
                <w:sz w:val="24"/>
                <w:szCs w:val="24"/>
                <w:lang w:eastAsia="en-GB"/>
              </w:rPr>
            </w:pPr>
            <w:r w:rsidRPr="558A5991">
              <w:rPr>
                <w:rFonts w:ascii="Arial" w:eastAsia="Times New Roman" w:hAnsi="Arial" w:cs="Arial"/>
                <w:sz w:val="24"/>
                <w:szCs w:val="24"/>
                <w:lang w:eastAsia="en-GB"/>
              </w:rPr>
              <w:lastRenderedPageBreak/>
              <w:t>What can be done by the Project Management Office to get a much more realistic estimate of actual capital spending in the financial year?</w:t>
            </w:r>
          </w:p>
        </w:tc>
        <w:tc>
          <w:tcPr>
            <w:tcW w:w="4508" w:type="dxa"/>
          </w:tcPr>
          <w:p w14:paraId="5AA861CC" w14:textId="4ADADD86" w:rsidR="00F545E4" w:rsidRPr="00BC0926" w:rsidRDefault="74BEEAE4" w:rsidP="70A7505B">
            <w:pPr>
              <w:rPr>
                <w:rFonts w:ascii="Arial" w:eastAsia="Arial" w:hAnsi="Arial" w:cs="Arial"/>
                <w:sz w:val="24"/>
                <w:szCs w:val="24"/>
              </w:rPr>
            </w:pPr>
            <w:r w:rsidRPr="70A7505B">
              <w:rPr>
                <w:rFonts w:ascii="Arial" w:eastAsia="Arial" w:hAnsi="Arial" w:cs="Arial"/>
                <w:color w:val="000000" w:themeColor="text1"/>
                <w:sz w:val="24"/>
                <w:szCs w:val="24"/>
              </w:rPr>
              <w:t xml:space="preserve">The Council's Development Board has oversight of the capital programme and reviews the project budget spend profiles. Project </w:t>
            </w:r>
            <w:proofErr w:type="gramStart"/>
            <w:r w:rsidRPr="70A7505B">
              <w:rPr>
                <w:rFonts w:ascii="Arial" w:eastAsia="Arial" w:hAnsi="Arial" w:cs="Arial"/>
                <w:color w:val="000000" w:themeColor="text1"/>
                <w:sz w:val="24"/>
                <w:szCs w:val="24"/>
              </w:rPr>
              <w:t>budget</w:t>
            </w:r>
            <w:proofErr w:type="gramEnd"/>
            <w:r w:rsidRPr="70A7505B">
              <w:rPr>
                <w:rFonts w:ascii="Arial" w:eastAsia="Arial" w:hAnsi="Arial" w:cs="Arial"/>
                <w:color w:val="000000" w:themeColor="text1"/>
                <w:sz w:val="24"/>
                <w:szCs w:val="24"/>
              </w:rPr>
              <w:t xml:space="preserve"> spend profiles are put together by Project Managers and they are reviewed by Project Sponsors to ensure they are appropriate. </w:t>
            </w:r>
            <w:r w:rsidRPr="70A7505B">
              <w:rPr>
                <w:rFonts w:ascii="Arial" w:eastAsia="Arial" w:hAnsi="Arial" w:cs="Arial"/>
                <w:sz w:val="24"/>
                <w:szCs w:val="24"/>
              </w:rPr>
              <w:t>An additional Development Board meeting is now in place each quarter focused on budget profiling and spend to give g</w:t>
            </w:r>
            <w:r w:rsidRPr="70A7505B">
              <w:rPr>
                <w:rFonts w:ascii="Arial" w:eastAsia="Arial" w:hAnsi="Arial" w:cs="Arial"/>
                <w:color w:val="000000" w:themeColor="text1"/>
                <w:sz w:val="24"/>
                <w:szCs w:val="24"/>
              </w:rPr>
              <w:t xml:space="preserve">reater scrutiny to improve the accuracy of the reporting. </w:t>
            </w:r>
            <w:r w:rsidRPr="70A7505B">
              <w:rPr>
                <w:rFonts w:ascii="Arial" w:eastAsia="Arial" w:hAnsi="Arial" w:cs="Arial"/>
                <w:sz w:val="24"/>
                <w:szCs w:val="24"/>
              </w:rPr>
              <w:t>This should support more accurate profiling at the budget setting stage. Furthermore, further work has been undertaken to better align the OX Place business plan, the HRA budget and the General Fund budget where these relate to the loans, updated construction costs and spend profiling, and purchases by the HRA, where they relate to new homes delivered through OX Place. This should enable more accurate estimates during the annual budget setting process and smaller variances throughout the year. It should be noted that development projects are liable to delays, not least through the feasibility stage where cost risks are best managed, planning, but also during construction, so change in profiles should continue to be expected, but it is hoped the above measures will reduce these as best we can.</w:t>
            </w:r>
          </w:p>
        </w:tc>
      </w:tr>
      <w:tr w:rsidR="001C1B9B" w:rsidRPr="00BC0926" w14:paraId="574FCF75" w14:textId="77777777" w:rsidTr="782A0F6C">
        <w:tc>
          <w:tcPr>
            <w:tcW w:w="9016" w:type="dxa"/>
            <w:gridSpan w:val="2"/>
            <w:shd w:val="clear" w:color="auto" w:fill="D9E2F3" w:themeFill="accent1" w:themeFillTint="33"/>
          </w:tcPr>
          <w:p w14:paraId="7581050A" w14:textId="77777777" w:rsidR="001C1B9B" w:rsidRPr="00BC0926" w:rsidRDefault="001C1B9B">
            <w:pPr>
              <w:rPr>
                <w:rFonts w:ascii="Arial" w:hAnsi="Arial" w:cs="Arial"/>
                <w:b/>
                <w:bCs/>
                <w:sz w:val="24"/>
                <w:szCs w:val="24"/>
              </w:rPr>
            </w:pPr>
          </w:p>
          <w:p w14:paraId="145C1409" w14:textId="77777777" w:rsidR="001C1B9B" w:rsidRPr="00BC0926" w:rsidRDefault="001C1B9B">
            <w:pPr>
              <w:rPr>
                <w:rFonts w:ascii="Arial" w:hAnsi="Arial" w:cs="Arial"/>
                <w:sz w:val="24"/>
                <w:szCs w:val="24"/>
                <w:u w:val="single"/>
              </w:rPr>
            </w:pPr>
            <w:r w:rsidRPr="00BC0926">
              <w:rPr>
                <w:rFonts w:ascii="Arial" w:hAnsi="Arial" w:cs="Arial"/>
                <w:sz w:val="24"/>
                <w:szCs w:val="24"/>
                <w:u w:val="single"/>
              </w:rPr>
              <w:t>Corporate Risk</w:t>
            </w:r>
          </w:p>
          <w:p w14:paraId="75F8728F" w14:textId="55D981F9" w:rsidR="001C1B9B" w:rsidRPr="00BC0926" w:rsidRDefault="001C1B9B">
            <w:pPr>
              <w:rPr>
                <w:rFonts w:ascii="Arial" w:hAnsi="Arial" w:cs="Arial"/>
                <w:sz w:val="24"/>
                <w:szCs w:val="24"/>
                <w:u w:val="single"/>
              </w:rPr>
            </w:pPr>
          </w:p>
        </w:tc>
      </w:tr>
      <w:tr w:rsidR="00F545E4" w:rsidRPr="00BC0926" w14:paraId="226552C5" w14:textId="77777777" w:rsidTr="782A0F6C">
        <w:tc>
          <w:tcPr>
            <w:tcW w:w="4508" w:type="dxa"/>
          </w:tcPr>
          <w:p w14:paraId="3B90F841" w14:textId="5672722A" w:rsidR="00F545E4" w:rsidRPr="00BC0926" w:rsidRDefault="669F77BC" w:rsidP="00F545E4">
            <w:pPr>
              <w:numPr>
                <w:ilvl w:val="0"/>
                <w:numId w:val="7"/>
              </w:numPr>
              <w:textAlignment w:val="center"/>
              <w:rPr>
                <w:rFonts w:ascii="Arial" w:eastAsia="Times New Roman" w:hAnsi="Arial" w:cs="Arial"/>
                <w:sz w:val="24"/>
                <w:szCs w:val="24"/>
                <w:lang w:eastAsia="en-GB"/>
              </w:rPr>
            </w:pPr>
            <w:r w:rsidRPr="558A5991">
              <w:rPr>
                <w:rFonts w:ascii="Arial" w:eastAsia="Times New Roman" w:hAnsi="Arial" w:cs="Arial"/>
                <w:sz w:val="24"/>
                <w:szCs w:val="24"/>
                <w:lang w:eastAsia="en-GB"/>
              </w:rPr>
              <w:t>Paragraph 20 - Are there any assumptions about making urgent investment in maintenance at Leisure Centres both to increase usage now (by making the centres more attractive) and making the new contractor willing to be more generous in their bids for the new contract?</w:t>
            </w:r>
          </w:p>
        </w:tc>
        <w:tc>
          <w:tcPr>
            <w:tcW w:w="4508" w:type="dxa"/>
          </w:tcPr>
          <w:p w14:paraId="4390BB11" w14:textId="6277CA79" w:rsidR="00F545E4" w:rsidRPr="00BC0926" w:rsidRDefault="66B73F97" w:rsidP="4CE6BC02">
            <w:pPr>
              <w:rPr>
                <w:rFonts w:ascii="Arial" w:eastAsia="Arial" w:hAnsi="Arial" w:cs="Arial"/>
                <w:sz w:val="24"/>
                <w:szCs w:val="24"/>
              </w:rPr>
            </w:pPr>
            <w:r w:rsidRPr="782A0F6C">
              <w:rPr>
                <w:rFonts w:ascii="Arial" w:eastAsia="Arial" w:hAnsi="Arial" w:cs="Arial"/>
                <w:sz w:val="24"/>
                <w:szCs w:val="24"/>
              </w:rPr>
              <w:t>The responsibil</w:t>
            </w:r>
            <w:r w:rsidR="468DE452" w:rsidRPr="782A0F6C">
              <w:rPr>
                <w:rFonts w:ascii="Arial" w:eastAsia="Arial" w:hAnsi="Arial" w:cs="Arial"/>
                <w:sz w:val="24"/>
                <w:szCs w:val="24"/>
              </w:rPr>
              <w:t>i</w:t>
            </w:r>
            <w:r w:rsidRPr="782A0F6C">
              <w:rPr>
                <w:rFonts w:ascii="Arial" w:eastAsia="Arial" w:hAnsi="Arial" w:cs="Arial"/>
                <w:sz w:val="24"/>
                <w:szCs w:val="24"/>
              </w:rPr>
              <w:t>ty for day</w:t>
            </w:r>
            <w:r w:rsidR="2CFE2A87" w:rsidRPr="782A0F6C">
              <w:rPr>
                <w:rFonts w:ascii="Arial" w:eastAsia="Arial" w:hAnsi="Arial" w:cs="Arial"/>
                <w:sz w:val="24"/>
                <w:szCs w:val="24"/>
              </w:rPr>
              <w:t>-</w:t>
            </w:r>
            <w:r w:rsidRPr="782A0F6C">
              <w:rPr>
                <w:rFonts w:ascii="Arial" w:eastAsia="Arial" w:hAnsi="Arial" w:cs="Arial"/>
                <w:sz w:val="24"/>
                <w:szCs w:val="24"/>
              </w:rPr>
              <w:t>to</w:t>
            </w:r>
            <w:r w:rsidR="13176B64" w:rsidRPr="782A0F6C">
              <w:rPr>
                <w:rFonts w:ascii="Arial" w:eastAsia="Arial" w:hAnsi="Arial" w:cs="Arial"/>
                <w:sz w:val="24"/>
                <w:szCs w:val="24"/>
              </w:rPr>
              <w:t>-</w:t>
            </w:r>
            <w:r w:rsidRPr="782A0F6C">
              <w:rPr>
                <w:rFonts w:ascii="Arial" w:eastAsia="Arial" w:hAnsi="Arial" w:cs="Arial"/>
                <w:sz w:val="24"/>
                <w:szCs w:val="24"/>
              </w:rPr>
              <w:t>day and repair</w:t>
            </w:r>
            <w:r w:rsidR="31A51F6F" w:rsidRPr="782A0F6C">
              <w:rPr>
                <w:rFonts w:ascii="Arial" w:eastAsia="Arial" w:hAnsi="Arial" w:cs="Arial"/>
                <w:sz w:val="24"/>
                <w:szCs w:val="24"/>
              </w:rPr>
              <w:t xml:space="preserve">s </w:t>
            </w:r>
            <w:r w:rsidR="326A2C52" w:rsidRPr="782A0F6C">
              <w:rPr>
                <w:rFonts w:ascii="Arial" w:eastAsia="Arial" w:hAnsi="Arial" w:cs="Arial"/>
                <w:sz w:val="24"/>
                <w:szCs w:val="24"/>
              </w:rPr>
              <w:t xml:space="preserve">for the leisure centres </w:t>
            </w:r>
            <w:r w:rsidR="31A51F6F" w:rsidRPr="782A0F6C">
              <w:rPr>
                <w:rFonts w:ascii="Arial" w:eastAsia="Arial" w:hAnsi="Arial" w:cs="Arial"/>
                <w:sz w:val="24"/>
                <w:szCs w:val="24"/>
              </w:rPr>
              <w:t>rests with the current contractor</w:t>
            </w:r>
            <w:r w:rsidR="633DB629" w:rsidRPr="782A0F6C">
              <w:rPr>
                <w:rFonts w:ascii="Arial" w:eastAsia="Arial" w:hAnsi="Arial" w:cs="Arial"/>
                <w:sz w:val="24"/>
                <w:szCs w:val="24"/>
              </w:rPr>
              <w:t>. Where the Council is responsible for structural repairs on some of the leisure centres, these have been undertaken</w:t>
            </w:r>
            <w:r w:rsidR="271BC645" w:rsidRPr="782A0F6C">
              <w:rPr>
                <w:rFonts w:ascii="Arial" w:eastAsia="Arial" w:hAnsi="Arial" w:cs="Arial"/>
                <w:sz w:val="24"/>
                <w:szCs w:val="24"/>
              </w:rPr>
              <w:t xml:space="preserve"> but the current contractor has not met </w:t>
            </w:r>
            <w:proofErr w:type="gramStart"/>
            <w:r w:rsidR="271BC645" w:rsidRPr="782A0F6C">
              <w:rPr>
                <w:rFonts w:ascii="Arial" w:eastAsia="Arial" w:hAnsi="Arial" w:cs="Arial"/>
                <w:sz w:val="24"/>
                <w:szCs w:val="24"/>
              </w:rPr>
              <w:t>all of</w:t>
            </w:r>
            <w:proofErr w:type="gramEnd"/>
            <w:r w:rsidR="271BC645" w:rsidRPr="782A0F6C">
              <w:rPr>
                <w:rFonts w:ascii="Arial" w:eastAsia="Arial" w:hAnsi="Arial" w:cs="Arial"/>
                <w:sz w:val="24"/>
                <w:szCs w:val="24"/>
              </w:rPr>
              <w:t xml:space="preserve"> their responsibilities, consequently there may be outstanding contractual works that the existing contractor will be </w:t>
            </w:r>
            <w:r w:rsidR="271BC645" w:rsidRPr="782A0F6C">
              <w:rPr>
                <w:rFonts w:ascii="Arial" w:eastAsia="Arial" w:hAnsi="Arial" w:cs="Arial"/>
                <w:sz w:val="24"/>
                <w:szCs w:val="24"/>
              </w:rPr>
              <w:lastRenderedPageBreak/>
              <w:t>required to undertake before the current contract ends in April 2024. Going forward the</w:t>
            </w:r>
            <w:r w:rsidR="4AF58251" w:rsidRPr="782A0F6C">
              <w:rPr>
                <w:rFonts w:ascii="Arial" w:eastAsia="Arial" w:hAnsi="Arial" w:cs="Arial"/>
                <w:sz w:val="24"/>
                <w:szCs w:val="24"/>
              </w:rPr>
              <w:t xml:space="preserve"> new leisure contract is a full repairing and insuring agreement, and the contractor will be required to undertake these works.</w:t>
            </w:r>
          </w:p>
        </w:tc>
      </w:tr>
      <w:tr w:rsidR="00F545E4" w:rsidRPr="00BC0926" w14:paraId="100F694B" w14:textId="77777777" w:rsidTr="782A0F6C">
        <w:tc>
          <w:tcPr>
            <w:tcW w:w="4508" w:type="dxa"/>
          </w:tcPr>
          <w:p w14:paraId="6C0E6928" w14:textId="716B6C76" w:rsidR="00F545E4" w:rsidRPr="00BC0926" w:rsidRDefault="669F77BC" w:rsidP="00F545E4">
            <w:pPr>
              <w:numPr>
                <w:ilvl w:val="0"/>
                <w:numId w:val="7"/>
              </w:numPr>
              <w:textAlignment w:val="center"/>
              <w:rPr>
                <w:rFonts w:ascii="Arial" w:eastAsia="Times New Roman" w:hAnsi="Arial" w:cs="Arial"/>
                <w:sz w:val="24"/>
                <w:szCs w:val="24"/>
                <w:lang w:eastAsia="en-GB"/>
              </w:rPr>
            </w:pPr>
            <w:r w:rsidRPr="558A5991">
              <w:rPr>
                <w:rFonts w:ascii="Arial" w:eastAsia="Times New Roman" w:hAnsi="Arial" w:cs="Arial"/>
                <w:sz w:val="24"/>
                <w:szCs w:val="24"/>
                <w:lang w:eastAsia="en-GB"/>
              </w:rPr>
              <w:lastRenderedPageBreak/>
              <w:t>Paragraph 21 - There were 5 red risks in Q2/3 in 2022/23 and this dropped to 4 in Q4 and Q1 of 2023/24 – was terrorism the red risk dropped off?</w:t>
            </w:r>
          </w:p>
        </w:tc>
        <w:tc>
          <w:tcPr>
            <w:tcW w:w="4508" w:type="dxa"/>
          </w:tcPr>
          <w:p w14:paraId="577C696C" w14:textId="2B41CE3F" w:rsidR="00F545E4" w:rsidRPr="00BC0926" w:rsidRDefault="232A31B0" w:rsidP="3FA070B9">
            <w:pPr>
              <w:rPr>
                <w:rFonts w:ascii="Arial" w:eastAsia="Arial" w:hAnsi="Arial" w:cs="Arial"/>
                <w:sz w:val="24"/>
                <w:szCs w:val="24"/>
              </w:rPr>
            </w:pPr>
            <w:r w:rsidRPr="3FA070B9">
              <w:rPr>
                <w:rFonts w:ascii="Arial" w:eastAsia="Arial" w:hAnsi="Arial" w:cs="Arial"/>
                <w:sz w:val="24"/>
                <w:szCs w:val="24"/>
              </w:rPr>
              <w:t xml:space="preserve">Terrorism was a red </w:t>
            </w:r>
            <w:proofErr w:type="gramStart"/>
            <w:r w:rsidRPr="3FA070B9">
              <w:rPr>
                <w:rFonts w:ascii="Arial" w:eastAsia="Arial" w:hAnsi="Arial" w:cs="Arial"/>
                <w:sz w:val="24"/>
                <w:szCs w:val="24"/>
              </w:rPr>
              <w:t>risk</w:t>
            </w:r>
            <w:proofErr w:type="gramEnd"/>
            <w:r w:rsidRPr="3FA070B9">
              <w:rPr>
                <w:rFonts w:ascii="Arial" w:eastAsia="Arial" w:hAnsi="Arial" w:cs="Arial"/>
                <w:sz w:val="24"/>
                <w:szCs w:val="24"/>
              </w:rPr>
              <w:t xml:space="preserve"> and the risk level has been reduced in line with the national terrorism alert status.</w:t>
            </w:r>
          </w:p>
          <w:p w14:paraId="7FE50575" w14:textId="606FF261" w:rsidR="00F545E4" w:rsidRPr="00BC0926" w:rsidRDefault="00F545E4" w:rsidP="3FA070B9">
            <w:pPr>
              <w:rPr>
                <w:rFonts w:ascii="Arial" w:hAnsi="Arial" w:cs="Arial"/>
                <w:b/>
                <w:bCs/>
                <w:sz w:val="24"/>
                <w:szCs w:val="24"/>
                <w:highlight w:val="yellow"/>
              </w:rPr>
            </w:pPr>
          </w:p>
        </w:tc>
      </w:tr>
      <w:tr w:rsidR="00F545E4" w:rsidRPr="00BC0926" w14:paraId="7E5F94FC" w14:textId="77777777" w:rsidTr="782A0F6C">
        <w:tc>
          <w:tcPr>
            <w:tcW w:w="4508" w:type="dxa"/>
          </w:tcPr>
          <w:p w14:paraId="646A7CBA" w14:textId="6AFBD316" w:rsidR="00F545E4" w:rsidRPr="00BC0926" w:rsidRDefault="669F77BC" w:rsidP="00F545E4">
            <w:pPr>
              <w:numPr>
                <w:ilvl w:val="0"/>
                <w:numId w:val="7"/>
              </w:numPr>
              <w:textAlignment w:val="center"/>
              <w:rPr>
                <w:rFonts w:ascii="Arial" w:eastAsia="Times New Roman" w:hAnsi="Arial" w:cs="Arial"/>
                <w:sz w:val="24"/>
                <w:szCs w:val="24"/>
                <w:lang w:eastAsia="en-GB"/>
              </w:rPr>
            </w:pPr>
            <w:r w:rsidRPr="558A5991">
              <w:rPr>
                <w:rFonts w:ascii="Arial" w:eastAsia="Times New Roman" w:hAnsi="Arial" w:cs="Arial"/>
                <w:sz w:val="24"/>
                <w:szCs w:val="24"/>
                <w:lang w:eastAsia="en-GB"/>
              </w:rPr>
              <w:t>Is there a reason why there isn't a risk register included as an appendix?</w:t>
            </w:r>
          </w:p>
        </w:tc>
        <w:tc>
          <w:tcPr>
            <w:tcW w:w="4508" w:type="dxa"/>
          </w:tcPr>
          <w:p w14:paraId="643FCB1A" w14:textId="15F77DC8" w:rsidR="00F545E4" w:rsidRPr="00BC0926" w:rsidRDefault="123C8618" w:rsidP="2CA5FEDC">
            <w:pPr>
              <w:rPr>
                <w:rFonts w:ascii="Arial" w:hAnsi="Arial" w:cs="Arial"/>
                <w:sz w:val="24"/>
                <w:szCs w:val="24"/>
              </w:rPr>
            </w:pPr>
            <w:r w:rsidRPr="2CA5FEDC">
              <w:rPr>
                <w:rFonts w:ascii="Arial" w:hAnsi="Arial" w:cs="Arial"/>
                <w:sz w:val="24"/>
                <w:szCs w:val="24"/>
              </w:rPr>
              <w:t>The full risk register is reported to A</w:t>
            </w:r>
            <w:r w:rsidR="221C5FEF" w:rsidRPr="2CA5FEDC">
              <w:rPr>
                <w:rFonts w:ascii="Arial" w:hAnsi="Arial" w:cs="Arial"/>
                <w:sz w:val="24"/>
                <w:szCs w:val="24"/>
              </w:rPr>
              <w:t xml:space="preserve">udit </w:t>
            </w:r>
            <w:r w:rsidRPr="2CA5FEDC">
              <w:rPr>
                <w:rFonts w:ascii="Arial" w:hAnsi="Arial" w:cs="Arial"/>
                <w:sz w:val="24"/>
                <w:szCs w:val="24"/>
              </w:rPr>
              <w:t>&amp;</w:t>
            </w:r>
            <w:r w:rsidR="720EC9E2" w:rsidRPr="2CA5FEDC">
              <w:rPr>
                <w:rFonts w:ascii="Arial" w:hAnsi="Arial" w:cs="Arial"/>
                <w:sz w:val="24"/>
                <w:szCs w:val="24"/>
              </w:rPr>
              <w:t xml:space="preserve"> </w:t>
            </w:r>
            <w:r w:rsidRPr="2CA5FEDC">
              <w:rPr>
                <w:rFonts w:ascii="Arial" w:hAnsi="Arial" w:cs="Arial"/>
                <w:sz w:val="24"/>
                <w:szCs w:val="24"/>
              </w:rPr>
              <w:t>G</w:t>
            </w:r>
            <w:r w:rsidR="4D13B4C4" w:rsidRPr="2CA5FEDC">
              <w:rPr>
                <w:rFonts w:ascii="Arial" w:hAnsi="Arial" w:cs="Arial"/>
                <w:sz w:val="24"/>
                <w:szCs w:val="24"/>
              </w:rPr>
              <w:t>overnance Committee</w:t>
            </w:r>
            <w:r w:rsidRPr="2CA5FEDC">
              <w:rPr>
                <w:rFonts w:ascii="Arial" w:hAnsi="Arial" w:cs="Arial"/>
                <w:sz w:val="24"/>
                <w:szCs w:val="24"/>
              </w:rPr>
              <w:t>, therefore not felt relevant to include in full here, as this is just a summary of the risk position</w:t>
            </w:r>
            <w:r w:rsidR="3838745A" w:rsidRPr="2CA5FEDC">
              <w:rPr>
                <w:rFonts w:ascii="Arial" w:hAnsi="Arial" w:cs="Arial"/>
                <w:sz w:val="24"/>
                <w:szCs w:val="24"/>
              </w:rPr>
              <w:t>.</w:t>
            </w:r>
          </w:p>
        </w:tc>
      </w:tr>
      <w:tr w:rsidR="00A82BC6" w:rsidRPr="00BC0926" w14:paraId="3A0164B1" w14:textId="77777777" w:rsidTr="782A0F6C">
        <w:tc>
          <w:tcPr>
            <w:tcW w:w="4508" w:type="dxa"/>
          </w:tcPr>
          <w:p w14:paraId="000B5D04" w14:textId="05823FD1" w:rsidR="00A82BC6" w:rsidRPr="00BC0926" w:rsidRDefault="63060A05" w:rsidP="00F545E4">
            <w:pPr>
              <w:numPr>
                <w:ilvl w:val="0"/>
                <w:numId w:val="7"/>
              </w:numPr>
              <w:textAlignment w:val="center"/>
              <w:rPr>
                <w:rFonts w:ascii="Arial" w:eastAsia="Times New Roman" w:hAnsi="Arial" w:cs="Arial"/>
                <w:sz w:val="24"/>
                <w:szCs w:val="24"/>
                <w:lang w:eastAsia="en-GB"/>
              </w:rPr>
            </w:pPr>
            <w:r w:rsidRPr="558A5991">
              <w:rPr>
                <w:rFonts w:ascii="Arial" w:eastAsia="Times New Roman" w:hAnsi="Arial" w:cs="Arial"/>
                <w:sz w:val="24"/>
                <w:szCs w:val="24"/>
                <w:lang w:eastAsia="en-GB"/>
              </w:rPr>
              <w:t>In the Oxford Model, ODS undertakes work on behalf of the Council and potentially provides any surplus back to the Council in the form of a dividend at some unknown future point, rather than ODS undertaking work effectively as a contractor, which means the Council assumes uncertainty around receipt of any dividend. Why does the Council wish to adopt this approach where it assumes such uncertainty?</w:t>
            </w:r>
          </w:p>
        </w:tc>
        <w:tc>
          <w:tcPr>
            <w:tcW w:w="4508" w:type="dxa"/>
          </w:tcPr>
          <w:p w14:paraId="4EFC2417" w14:textId="25D934D4" w:rsidR="00A82BC6" w:rsidRPr="00BC0926" w:rsidRDefault="7900C57B" w:rsidP="782A0F6C">
            <w:pPr>
              <w:rPr>
                <w:rFonts w:ascii="Arial" w:hAnsi="Arial" w:cs="Arial"/>
                <w:sz w:val="24"/>
                <w:szCs w:val="24"/>
              </w:rPr>
            </w:pPr>
            <w:r w:rsidRPr="782A0F6C">
              <w:rPr>
                <w:rFonts w:ascii="Arial" w:hAnsi="Arial" w:cs="Arial"/>
                <w:sz w:val="24"/>
                <w:szCs w:val="24"/>
              </w:rPr>
              <w:t xml:space="preserve">The Council </w:t>
            </w:r>
            <w:proofErr w:type="gramStart"/>
            <w:r w:rsidRPr="782A0F6C">
              <w:rPr>
                <w:rFonts w:ascii="Arial" w:hAnsi="Arial" w:cs="Arial"/>
                <w:sz w:val="24"/>
                <w:szCs w:val="24"/>
              </w:rPr>
              <w:t>made a decision</w:t>
            </w:r>
            <w:proofErr w:type="gramEnd"/>
            <w:r w:rsidRPr="782A0F6C">
              <w:rPr>
                <w:rFonts w:ascii="Arial" w:hAnsi="Arial" w:cs="Arial"/>
                <w:sz w:val="24"/>
                <w:szCs w:val="24"/>
              </w:rPr>
              <w:t xml:space="preserve"> back in 2018 to establish 2 wholly owned companies, a </w:t>
            </w:r>
            <w:proofErr w:type="spellStart"/>
            <w:r w:rsidRPr="782A0F6C">
              <w:rPr>
                <w:rFonts w:ascii="Arial" w:hAnsi="Arial" w:cs="Arial"/>
                <w:sz w:val="24"/>
                <w:szCs w:val="24"/>
              </w:rPr>
              <w:t>teckal</w:t>
            </w:r>
            <w:proofErr w:type="spellEnd"/>
            <w:r w:rsidRPr="782A0F6C">
              <w:rPr>
                <w:rFonts w:ascii="Arial" w:hAnsi="Arial" w:cs="Arial"/>
                <w:sz w:val="24"/>
                <w:szCs w:val="24"/>
              </w:rPr>
              <w:t xml:space="preserve"> company providing services s</w:t>
            </w:r>
            <w:r w:rsidR="37A5AAAD" w:rsidRPr="782A0F6C">
              <w:rPr>
                <w:rFonts w:ascii="Arial" w:hAnsi="Arial" w:cs="Arial"/>
                <w:sz w:val="24"/>
                <w:szCs w:val="24"/>
              </w:rPr>
              <w:t>uch as refuse collection and recycling, building work, highways etc</w:t>
            </w:r>
            <w:r w:rsidR="482BF3F2" w:rsidRPr="782A0F6C">
              <w:rPr>
                <w:rFonts w:ascii="Arial" w:hAnsi="Arial" w:cs="Arial"/>
                <w:sz w:val="24"/>
                <w:szCs w:val="24"/>
              </w:rPr>
              <w:t>.</w:t>
            </w:r>
            <w:r w:rsidR="37A5AAAD" w:rsidRPr="782A0F6C">
              <w:rPr>
                <w:rFonts w:ascii="Arial" w:hAnsi="Arial" w:cs="Arial"/>
                <w:sz w:val="24"/>
                <w:szCs w:val="24"/>
              </w:rPr>
              <w:t xml:space="preserve"> to the </w:t>
            </w:r>
            <w:r w:rsidR="5EC63322" w:rsidRPr="782A0F6C">
              <w:rPr>
                <w:rFonts w:ascii="Arial" w:hAnsi="Arial" w:cs="Arial"/>
                <w:sz w:val="24"/>
                <w:szCs w:val="24"/>
              </w:rPr>
              <w:t>C</w:t>
            </w:r>
            <w:r w:rsidR="37A5AAAD" w:rsidRPr="782A0F6C">
              <w:rPr>
                <w:rFonts w:ascii="Arial" w:hAnsi="Arial" w:cs="Arial"/>
                <w:sz w:val="24"/>
                <w:szCs w:val="24"/>
              </w:rPr>
              <w:t>ouncil</w:t>
            </w:r>
            <w:r w:rsidR="42498FB0" w:rsidRPr="782A0F6C">
              <w:rPr>
                <w:rFonts w:ascii="Arial" w:hAnsi="Arial" w:cs="Arial"/>
                <w:sz w:val="24"/>
                <w:szCs w:val="24"/>
              </w:rPr>
              <w:t>;</w:t>
            </w:r>
            <w:r w:rsidR="37A5AAAD" w:rsidRPr="782A0F6C">
              <w:rPr>
                <w:rFonts w:ascii="Arial" w:hAnsi="Arial" w:cs="Arial"/>
                <w:sz w:val="24"/>
                <w:szCs w:val="24"/>
              </w:rPr>
              <w:t xml:space="preserve"> and a sister company undertaking external trading for </w:t>
            </w:r>
            <w:r w:rsidR="16F81D46" w:rsidRPr="782A0F6C">
              <w:rPr>
                <w:rFonts w:ascii="Arial" w:hAnsi="Arial" w:cs="Arial"/>
                <w:sz w:val="24"/>
                <w:szCs w:val="24"/>
              </w:rPr>
              <w:t>commercial waste, vehicle maintenance</w:t>
            </w:r>
            <w:r w:rsidR="342C7868" w:rsidRPr="782A0F6C">
              <w:rPr>
                <w:rFonts w:ascii="Arial" w:hAnsi="Arial" w:cs="Arial"/>
                <w:sz w:val="24"/>
                <w:szCs w:val="24"/>
              </w:rPr>
              <w:t>,</w:t>
            </w:r>
            <w:r w:rsidR="16F81D46" w:rsidRPr="782A0F6C">
              <w:rPr>
                <w:rFonts w:ascii="Arial" w:hAnsi="Arial" w:cs="Arial"/>
                <w:sz w:val="24"/>
                <w:szCs w:val="24"/>
              </w:rPr>
              <w:t xml:space="preserve"> </w:t>
            </w:r>
            <w:r w:rsidR="49092BAB" w:rsidRPr="782A0F6C">
              <w:rPr>
                <w:rFonts w:ascii="Arial" w:hAnsi="Arial" w:cs="Arial"/>
                <w:sz w:val="24"/>
                <w:szCs w:val="24"/>
              </w:rPr>
              <w:t>b</w:t>
            </w:r>
            <w:r w:rsidR="16F81D46" w:rsidRPr="782A0F6C">
              <w:rPr>
                <w:rFonts w:ascii="Arial" w:hAnsi="Arial" w:cs="Arial"/>
                <w:sz w:val="24"/>
                <w:szCs w:val="24"/>
              </w:rPr>
              <w:t>uilding works and highways. The</w:t>
            </w:r>
            <w:r w:rsidR="495407D1" w:rsidRPr="782A0F6C">
              <w:rPr>
                <w:rFonts w:ascii="Arial" w:hAnsi="Arial" w:cs="Arial"/>
                <w:sz w:val="24"/>
                <w:szCs w:val="24"/>
              </w:rPr>
              <w:t xml:space="preserve"> rationale was largely around giving more freedom for </w:t>
            </w:r>
            <w:r w:rsidR="1441E7A9" w:rsidRPr="782A0F6C">
              <w:rPr>
                <w:rFonts w:ascii="Arial" w:hAnsi="Arial" w:cs="Arial"/>
                <w:sz w:val="24"/>
                <w:szCs w:val="24"/>
              </w:rPr>
              <w:t xml:space="preserve">the company to trade and concerns over the amount of trading that the </w:t>
            </w:r>
            <w:r w:rsidR="0C9C608A" w:rsidRPr="782A0F6C">
              <w:rPr>
                <w:rFonts w:ascii="Arial" w:hAnsi="Arial" w:cs="Arial"/>
                <w:sz w:val="24"/>
                <w:szCs w:val="24"/>
              </w:rPr>
              <w:t>C</w:t>
            </w:r>
            <w:r w:rsidR="1441E7A9" w:rsidRPr="782A0F6C">
              <w:rPr>
                <w:rFonts w:ascii="Arial" w:hAnsi="Arial" w:cs="Arial"/>
                <w:sz w:val="24"/>
                <w:szCs w:val="24"/>
              </w:rPr>
              <w:t>ouncil at the time was undertaking in</w:t>
            </w:r>
            <w:r w:rsidR="7FF46A16" w:rsidRPr="782A0F6C">
              <w:rPr>
                <w:rFonts w:ascii="Arial" w:hAnsi="Arial" w:cs="Arial"/>
                <w:sz w:val="24"/>
                <w:szCs w:val="24"/>
              </w:rPr>
              <w:t>-</w:t>
            </w:r>
            <w:r w:rsidR="1441E7A9" w:rsidRPr="782A0F6C">
              <w:rPr>
                <w:rFonts w:ascii="Arial" w:hAnsi="Arial" w:cs="Arial"/>
                <w:sz w:val="24"/>
                <w:szCs w:val="24"/>
              </w:rPr>
              <w:t>house. The business plan indicated dividend returns that wo</w:t>
            </w:r>
            <w:r w:rsidR="40373BD0" w:rsidRPr="782A0F6C">
              <w:rPr>
                <w:rFonts w:ascii="Arial" w:hAnsi="Arial" w:cs="Arial"/>
                <w:sz w:val="24"/>
                <w:szCs w:val="24"/>
              </w:rPr>
              <w:t>uld be repaid in the ensuing years but</w:t>
            </w:r>
            <w:r w:rsidR="155307A3" w:rsidRPr="782A0F6C">
              <w:rPr>
                <w:rFonts w:ascii="Arial" w:hAnsi="Arial" w:cs="Arial"/>
                <w:sz w:val="24"/>
                <w:szCs w:val="24"/>
              </w:rPr>
              <w:t>,</w:t>
            </w:r>
            <w:r w:rsidR="40373BD0" w:rsidRPr="782A0F6C">
              <w:rPr>
                <w:rFonts w:ascii="Arial" w:hAnsi="Arial" w:cs="Arial"/>
                <w:sz w:val="24"/>
                <w:szCs w:val="24"/>
              </w:rPr>
              <w:t xml:space="preserve"> through a combination of COVID</w:t>
            </w:r>
            <w:r w:rsidR="2119C1AF" w:rsidRPr="782A0F6C">
              <w:rPr>
                <w:rFonts w:ascii="Arial" w:hAnsi="Arial" w:cs="Arial"/>
                <w:sz w:val="24"/>
                <w:szCs w:val="24"/>
              </w:rPr>
              <w:t>-19</w:t>
            </w:r>
            <w:r w:rsidR="40373BD0" w:rsidRPr="782A0F6C">
              <w:rPr>
                <w:rFonts w:ascii="Arial" w:hAnsi="Arial" w:cs="Arial"/>
                <w:sz w:val="24"/>
                <w:szCs w:val="24"/>
              </w:rPr>
              <w:t xml:space="preserve"> and issues arising from </w:t>
            </w:r>
            <w:r w:rsidR="0B251BA8" w:rsidRPr="782A0F6C">
              <w:rPr>
                <w:rFonts w:ascii="Arial" w:hAnsi="Arial" w:cs="Arial"/>
                <w:sz w:val="24"/>
                <w:szCs w:val="24"/>
              </w:rPr>
              <w:t>closing of the accounts</w:t>
            </w:r>
            <w:r w:rsidR="55E61C71" w:rsidRPr="782A0F6C">
              <w:rPr>
                <w:rFonts w:ascii="Arial" w:hAnsi="Arial" w:cs="Arial"/>
                <w:sz w:val="24"/>
                <w:szCs w:val="24"/>
              </w:rPr>
              <w:t>,</w:t>
            </w:r>
            <w:r w:rsidR="0B251BA8" w:rsidRPr="782A0F6C">
              <w:rPr>
                <w:rFonts w:ascii="Arial" w:hAnsi="Arial" w:cs="Arial"/>
                <w:sz w:val="24"/>
                <w:szCs w:val="24"/>
              </w:rPr>
              <w:t xml:space="preserve"> only around £</w:t>
            </w:r>
            <w:r w:rsidR="7C25EB64" w:rsidRPr="782A0F6C">
              <w:rPr>
                <w:rFonts w:ascii="Arial" w:hAnsi="Arial" w:cs="Arial"/>
                <w:sz w:val="24"/>
                <w:szCs w:val="24"/>
              </w:rPr>
              <w:t>1.9 million</w:t>
            </w:r>
            <w:r w:rsidR="441A604A" w:rsidRPr="782A0F6C">
              <w:rPr>
                <w:rFonts w:ascii="Arial" w:hAnsi="Arial" w:cs="Arial"/>
                <w:sz w:val="24"/>
                <w:szCs w:val="24"/>
              </w:rPr>
              <w:t xml:space="preserve"> h</w:t>
            </w:r>
            <w:r w:rsidR="0B251BA8" w:rsidRPr="782A0F6C">
              <w:rPr>
                <w:rFonts w:ascii="Arial" w:hAnsi="Arial" w:cs="Arial"/>
                <w:sz w:val="24"/>
                <w:szCs w:val="24"/>
              </w:rPr>
              <w:t>as been delivered to date. It is understood</w:t>
            </w:r>
            <w:r w:rsidR="649529FE" w:rsidRPr="782A0F6C">
              <w:rPr>
                <w:rFonts w:ascii="Arial" w:hAnsi="Arial" w:cs="Arial"/>
                <w:sz w:val="24"/>
                <w:szCs w:val="24"/>
              </w:rPr>
              <w:t xml:space="preserve"> tha</w:t>
            </w:r>
            <w:r w:rsidR="0ED57C6F" w:rsidRPr="782A0F6C">
              <w:rPr>
                <w:rFonts w:ascii="Arial" w:hAnsi="Arial" w:cs="Arial"/>
                <w:sz w:val="24"/>
                <w:szCs w:val="24"/>
              </w:rPr>
              <w:t>t</w:t>
            </w:r>
            <w:r w:rsidR="649529FE" w:rsidRPr="782A0F6C">
              <w:rPr>
                <w:rFonts w:ascii="Arial" w:hAnsi="Arial" w:cs="Arial"/>
                <w:sz w:val="24"/>
                <w:szCs w:val="24"/>
              </w:rPr>
              <w:t xml:space="preserve"> the ODS Board Directors have agreed that</w:t>
            </w:r>
            <w:r w:rsidR="0B251BA8" w:rsidRPr="782A0F6C">
              <w:rPr>
                <w:rFonts w:ascii="Arial" w:hAnsi="Arial" w:cs="Arial"/>
                <w:sz w:val="24"/>
                <w:szCs w:val="24"/>
              </w:rPr>
              <w:t xml:space="preserve"> unpaid divide</w:t>
            </w:r>
            <w:r w:rsidR="118BB20C" w:rsidRPr="782A0F6C">
              <w:rPr>
                <w:rFonts w:ascii="Arial" w:hAnsi="Arial" w:cs="Arial"/>
                <w:sz w:val="24"/>
                <w:szCs w:val="24"/>
              </w:rPr>
              <w:t xml:space="preserve">nds will </w:t>
            </w:r>
            <w:r w:rsidR="5030973D" w:rsidRPr="782A0F6C">
              <w:rPr>
                <w:rFonts w:ascii="Arial" w:hAnsi="Arial" w:cs="Arial"/>
                <w:sz w:val="24"/>
                <w:szCs w:val="24"/>
              </w:rPr>
              <w:t xml:space="preserve">shortly be </w:t>
            </w:r>
            <w:r w:rsidR="118BB20C" w:rsidRPr="782A0F6C">
              <w:rPr>
                <w:rFonts w:ascii="Arial" w:hAnsi="Arial" w:cs="Arial"/>
                <w:sz w:val="24"/>
                <w:szCs w:val="24"/>
              </w:rPr>
              <w:t xml:space="preserve">paid to the Council </w:t>
            </w:r>
            <w:r w:rsidR="771C38E0" w:rsidRPr="782A0F6C">
              <w:rPr>
                <w:rFonts w:ascii="Arial" w:hAnsi="Arial" w:cs="Arial"/>
                <w:sz w:val="24"/>
                <w:szCs w:val="24"/>
              </w:rPr>
              <w:t xml:space="preserve">and future dividends will continue to be paid. </w:t>
            </w:r>
          </w:p>
        </w:tc>
      </w:tr>
      <w:tr w:rsidR="001C1B9B" w:rsidRPr="00BC0926" w14:paraId="2180B434" w14:textId="77777777" w:rsidTr="782A0F6C">
        <w:tc>
          <w:tcPr>
            <w:tcW w:w="9016" w:type="dxa"/>
            <w:gridSpan w:val="2"/>
            <w:shd w:val="clear" w:color="auto" w:fill="D9E2F3" w:themeFill="accent1" w:themeFillTint="33"/>
          </w:tcPr>
          <w:p w14:paraId="20F79F1E" w14:textId="77777777" w:rsidR="001C1B9B" w:rsidRPr="00BC0926" w:rsidRDefault="001C1B9B">
            <w:pPr>
              <w:rPr>
                <w:rFonts w:ascii="Arial" w:hAnsi="Arial" w:cs="Arial"/>
                <w:b/>
                <w:bCs/>
                <w:sz w:val="24"/>
                <w:szCs w:val="24"/>
              </w:rPr>
            </w:pPr>
          </w:p>
          <w:p w14:paraId="523DAE49" w14:textId="77777777" w:rsidR="001C1B9B" w:rsidRPr="00BC0926" w:rsidRDefault="001C1B9B">
            <w:pPr>
              <w:rPr>
                <w:rFonts w:ascii="Arial" w:hAnsi="Arial" w:cs="Arial"/>
                <w:sz w:val="24"/>
                <w:szCs w:val="24"/>
                <w:u w:val="single"/>
              </w:rPr>
            </w:pPr>
            <w:r w:rsidRPr="00BC0926">
              <w:rPr>
                <w:rFonts w:ascii="Arial" w:hAnsi="Arial" w:cs="Arial"/>
                <w:sz w:val="24"/>
                <w:szCs w:val="24"/>
                <w:u w:val="single"/>
              </w:rPr>
              <w:t>Performance Indicators</w:t>
            </w:r>
          </w:p>
          <w:p w14:paraId="5CB4DC9F" w14:textId="79DA9972" w:rsidR="001C1B9B" w:rsidRPr="00BC0926" w:rsidRDefault="001C1B9B">
            <w:pPr>
              <w:rPr>
                <w:rFonts w:ascii="Arial" w:hAnsi="Arial" w:cs="Arial"/>
                <w:sz w:val="24"/>
                <w:szCs w:val="24"/>
                <w:u w:val="single"/>
              </w:rPr>
            </w:pPr>
          </w:p>
        </w:tc>
      </w:tr>
      <w:tr w:rsidR="00F545E4" w:rsidRPr="00BC0926" w14:paraId="00340D1B" w14:textId="77777777" w:rsidTr="782A0F6C">
        <w:tc>
          <w:tcPr>
            <w:tcW w:w="4508" w:type="dxa"/>
          </w:tcPr>
          <w:p w14:paraId="1B125D58" w14:textId="7E6C273A" w:rsidR="00F545E4" w:rsidRPr="00BC0926" w:rsidRDefault="669F77BC" w:rsidP="00F545E4">
            <w:pPr>
              <w:pStyle w:val="ListParagraph"/>
              <w:numPr>
                <w:ilvl w:val="0"/>
                <w:numId w:val="7"/>
              </w:numPr>
              <w:textAlignment w:val="center"/>
              <w:rPr>
                <w:rFonts w:ascii="Arial" w:eastAsia="Times New Roman" w:hAnsi="Arial" w:cs="Arial"/>
                <w:sz w:val="24"/>
                <w:szCs w:val="24"/>
                <w:lang w:eastAsia="en-GB"/>
              </w:rPr>
            </w:pPr>
            <w:r w:rsidRPr="558A5991">
              <w:rPr>
                <w:rFonts w:ascii="Arial" w:eastAsia="Times New Roman" w:hAnsi="Arial" w:cs="Arial"/>
                <w:sz w:val="24"/>
                <w:szCs w:val="24"/>
                <w:lang w:eastAsia="en-GB"/>
              </w:rPr>
              <w:t xml:space="preserve">Paragraph 22 (top two bullet points) - the wording is not clear. The report states that a 5% reduction is being targeted for both metrics. What is reported are actuals of 5.5% and 22.4% - if we are talking about a </w:t>
            </w:r>
            <w:r w:rsidRPr="558A5991">
              <w:rPr>
                <w:rFonts w:ascii="Arial" w:eastAsia="Times New Roman" w:hAnsi="Arial" w:cs="Arial"/>
                <w:b/>
                <w:bCs/>
                <w:i/>
                <w:iCs/>
                <w:sz w:val="24"/>
                <w:szCs w:val="24"/>
                <w:lang w:eastAsia="en-GB"/>
              </w:rPr>
              <w:lastRenderedPageBreak/>
              <w:t xml:space="preserve">reduction </w:t>
            </w:r>
            <w:r w:rsidRPr="558A5991">
              <w:rPr>
                <w:rFonts w:ascii="Arial" w:eastAsia="Times New Roman" w:hAnsi="Arial" w:cs="Arial"/>
                <w:sz w:val="24"/>
                <w:szCs w:val="24"/>
                <w:lang w:eastAsia="en-GB"/>
              </w:rPr>
              <w:t>then that would suggest both targets have been exceeded? Can clarity be provided on what is meant here?</w:t>
            </w:r>
          </w:p>
        </w:tc>
        <w:tc>
          <w:tcPr>
            <w:tcW w:w="4508" w:type="dxa"/>
          </w:tcPr>
          <w:p w14:paraId="2B0B0057" w14:textId="7B726BD4" w:rsidR="00F545E4" w:rsidRPr="00BC0926" w:rsidRDefault="00885BB5" w:rsidP="3FA070B9">
            <w:r w:rsidRPr="3FA070B9">
              <w:rPr>
                <w:rFonts w:ascii="Arial" w:eastAsia="Arial" w:hAnsi="Arial" w:cs="Arial"/>
                <w:color w:val="000000" w:themeColor="text1"/>
                <w:sz w:val="24"/>
                <w:szCs w:val="24"/>
                <w:u w:val="single"/>
              </w:rPr>
              <w:lastRenderedPageBreak/>
              <w:t xml:space="preserve">Indicator BIC024: % reduction of call volume into the Customer Contact Centre for Housing, Revenues and Benefits </w:t>
            </w:r>
            <w:proofErr w:type="gramStart"/>
            <w:r w:rsidRPr="3FA070B9">
              <w:rPr>
                <w:rFonts w:ascii="Arial" w:eastAsia="Arial" w:hAnsi="Arial" w:cs="Arial"/>
                <w:color w:val="000000" w:themeColor="text1"/>
                <w:sz w:val="24"/>
                <w:szCs w:val="24"/>
                <w:u w:val="single"/>
              </w:rPr>
              <w:t>only</w:t>
            </w:r>
            <w:proofErr w:type="gramEnd"/>
          </w:p>
          <w:p w14:paraId="6621603D" w14:textId="78D08A4E" w:rsidR="00F545E4" w:rsidRPr="00BC0926" w:rsidRDefault="00885BB5" w:rsidP="3FA070B9">
            <w:r w:rsidRPr="3FA070B9">
              <w:rPr>
                <w:rFonts w:ascii="Arial" w:eastAsia="Arial" w:hAnsi="Arial" w:cs="Arial"/>
                <w:color w:val="000000" w:themeColor="text1"/>
                <w:sz w:val="24"/>
                <w:szCs w:val="24"/>
              </w:rPr>
              <w:t xml:space="preserve">The target is 5% reduction in calls.  </w:t>
            </w:r>
          </w:p>
          <w:p w14:paraId="48106DEA" w14:textId="6795E3B2" w:rsidR="00F545E4" w:rsidRPr="00BC0926" w:rsidRDefault="00885BB5" w:rsidP="3FA070B9">
            <w:pPr>
              <w:rPr>
                <w:rFonts w:ascii="Arial" w:eastAsia="Arial" w:hAnsi="Arial" w:cs="Arial"/>
                <w:color w:val="000000" w:themeColor="text1"/>
                <w:sz w:val="24"/>
                <w:szCs w:val="24"/>
              </w:rPr>
            </w:pPr>
            <w:r w:rsidRPr="3FA070B9">
              <w:rPr>
                <w:rFonts w:ascii="Arial" w:eastAsia="Arial" w:hAnsi="Arial" w:cs="Arial"/>
                <w:color w:val="000000" w:themeColor="text1"/>
                <w:sz w:val="24"/>
                <w:szCs w:val="24"/>
              </w:rPr>
              <w:lastRenderedPageBreak/>
              <w:t xml:space="preserve">To date we have received 33,527 calls this year (Apr-Jun) compared to 35,470 calls for the same period last year, which is </w:t>
            </w:r>
            <w:proofErr w:type="gramStart"/>
            <w:r w:rsidRPr="3FA070B9">
              <w:rPr>
                <w:rFonts w:ascii="Arial" w:eastAsia="Arial" w:hAnsi="Arial" w:cs="Arial"/>
                <w:color w:val="000000" w:themeColor="text1"/>
                <w:sz w:val="24"/>
                <w:szCs w:val="24"/>
              </w:rPr>
              <w:t>actually a</w:t>
            </w:r>
            <w:proofErr w:type="gramEnd"/>
            <w:r w:rsidRPr="3FA070B9">
              <w:rPr>
                <w:rFonts w:ascii="Arial" w:eastAsia="Arial" w:hAnsi="Arial" w:cs="Arial"/>
                <w:color w:val="000000" w:themeColor="text1"/>
                <w:sz w:val="24"/>
                <w:szCs w:val="24"/>
              </w:rPr>
              <w:t xml:space="preserve"> 5.5% reduction. So based on year to date we are presently on target. This indicator should have been showing as green and not red.  </w:t>
            </w:r>
          </w:p>
          <w:p w14:paraId="474E5580" w14:textId="685B72DC" w:rsidR="00F545E4" w:rsidRPr="00BC0926" w:rsidRDefault="00885BB5" w:rsidP="3FA070B9">
            <w:pPr>
              <w:shd w:val="clear" w:color="auto" w:fill="FFFFFF" w:themeFill="background1"/>
            </w:pPr>
            <w:r w:rsidRPr="3FA070B9">
              <w:rPr>
                <w:rFonts w:ascii="Calibri" w:eastAsia="Calibri" w:hAnsi="Calibri" w:cs="Calibri"/>
              </w:rPr>
              <w:t xml:space="preserve"> </w:t>
            </w:r>
          </w:p>
          <w:p w14:paraId="539C8686" w14:textId="36FCADF1" w:rsidR="00F545E4" w:rsidRPr="00BC0926" w:rsidRDefault="00885BB5" w:rsidP="3FA070B9">
            <w:r w:rsidRPr="3FA070B9">
              <w:rPr>
                <w:rFonts w:ascii="Arial" w:eastAsia="Arial" w:hAnsi="Arial" w:cs="Arial"/>
                <w:color w:val="000000" w:themeColor="text1"/>
                <w:sz w:val="24"/>
                <w:szCs w:val="24"/>
                <w:u w:val="single"/>
              </w:rPr>
              <w:t>Indicator BIC025: % reduction of face</w:t>
            </w:r>
            <w:r w:rsidR="32E44640" w:rsidRPr="3FA070B9">
              <w:rPr>
                <w:rFonts w:ascii="Arial" w:eastAsia="Arial" w:hAnsi="Arial" w:cs="Arial"/>
                <w:color w:val="000000" w:themeColor="text1"/>
                <w:sz w:val="24"/>
                <w:szCs w:val="24"/>
                <w:u w:val="single"/>
              </w:rPr>
              <w:t>-</w:t>
            </w:r>
            <w:r w:rsidRPr="3FA070B9">
              <w:rPr>
                <w:rFonts w:ascii="Arial" w:eastAsia="Arial" w:hAnsi="Arial" w:cs="Arial"/>
                <w:color w:val="000000" w:themeColor="text1"/>
                <w:sz w:val="24"/>
                <w:szCs w:val="24"/>
                <w:u w:val="single"/>
              </w:rPr>
              <w:t>to</w:t>
            </w:r>
            <w:r w:rsidR="16309E7E" w:rsidRPr="3FA070B9">
              <w:rPr>
                <w:rFonts w:ascii="Arial" w:eastAsia="Arial" w:hAnsi="Arial" w:cs="Arial"/>
                <w:color w:val="000000" w:themeColor="text1"/>
                <w:sz w:val="24"/>
                <w:szCs w:val="24"/>
                <w:u w:val="single"/>
              </w:rPr>
              <w:t>-</w:t>
            </w:r>
            <w:r w:rsidRPr="3FA070B9">
              <w:rPr>
                <w:rFonts w:ascii="Arial" w:eastAsia="Arial" w:hAnsi="Arial" w:cs="Arial"/>
                <w:color w:val="000000" w:themeColor="text1"/>
                <w:sz w:val="24"/>
                <w:szCs w:val="24"/>
                <w:u w:val="single"/>
              </w:rPr>
              <w:t>face enquiries for Housing,</w:t>
            </w:r>
            <w:r w:rsidR="072889D1" w:rsidRPr="3FA070B9">
              <w:rPr>
                <w:rFonts w:ascii="Arial" w:eastAsia="Arial" w:hAnsi="Arial" w:cs="Arial"/>
                <w:color w:val="000000" w:themeColor="text1"/>
                <w:sz w:val="24"/>
                <w:szCs w:val="24"/>
                <w:u w:val="single"/>
              </w:rPr>
              <w:t xml:space="preserve"> </w:t>
            </w:r>
            <w:r w:rsidRPr="3FA070B9">
              <w:rPr>
                <w:rFonts w:ascii="Arial" w:eastAsia="Arial" w:hAnsi="Arial" w:cs="Arial"/>
                <w:color w:val="000000" w:themeColor="text1"/>
                <w:sz w:val="24"/>
                <w:szCs w:val="24"/>
                <w:u w:val="single"/>
              </w:rPr>
              <w:t xml:space="preserve">Revenues and Benefits </w:t>
            </w:r>
            <w:proofErr w:type="gramStart"/>
            <w:r w:rsidRPr="3FA070B9">
              <w:rPr>
                <w:rFonts w:ascii="Arial" w:eastAsia="Arial" w:hAnsi="Arial" w:cs="Arial"/>
                <w:color w:val="000000" w:themeColor="text1"/>
                <w:sz w:val="24"/>
                <w:szCs w:val="24"/>
                <w:u w:val="single"/>
              </w:rPr>
              <w:t>only</w:t>
            </w:r>
            <w:proofErr w:type="gramEnd"/>
          </w:p>
          <w:p w14:paraId="452554AC" w14:textId="32721303" w:rsidR="00F545E4" w:rsidRPr="00BC0926" w:rsidRDefault="00885BB5" w:rsidP="3FA070B9">
            <w:r w:rsidRPr="3FA070B9">
              <w:rPr>
                <w:rFonts w:ascii="Arial" w:eastAsia="Arial" w:hAnsi="Arial" w:cs="Arial"/>
                <w:color w:val="000000" w:themeColor="text1"/>
                <w:sz w:val="24"/>
                <w:szCs w:val="24"/>
              </w:rPr>
              <w:t>The target is 5% reduction in visits.</w:t>
            </w:r>
          </w:p>
          <w:p w14:paraId="2A93B92F" w14:textId="79968CCD" w:rsidR="00F545E4" w:rsidRPr="00BC0926" w:rsidRDefault="00885BB5" w:rsidP="3FA070B9">
            <w:pPr>
              <w:rPr>
                <w:rFonts w:ascii="Arial" w:eastAsia="Arial" w:hAnsi="Arial" w:cs="Arial"/>
                <w:sz w:val="24"/>
                <w:szCs w:val="24"/>
              </w:rPr>
            </w:pPr>
            <w:r w:rsidRPr="3FA070B9">
              <w:rPr>
                <w:rFonts w:ascii="Arial" w:eastAsia="Arial" w:hAnsi="Arial" w:cs="Arial"/>
                <w:color w:val="000000" w:themeColor="text1"/>
                <w:sz w:val="24"/>
                <w:szCs w:val="24"/>
              </w:rPr>
              <w:t>To date we have had 1</w:t>
            </w:r>
            <w:r w:rsidR="67E4EE16" w:rsidRPr="3FA070B9">
              <w:rPr>
                <w:rFonts w:ascii="Arial" w:eastAsia="Arial" w:hAnsi="Arial" w:cs="Arial"/>
                <w:color w:val="000000" w:themeColor="text1"/>
                <w:sz w:val="24"/>
                <w:szCs w:val="24"/>
              </w:rPr>
              <w:t>,</w:t>
            </w:r>
            <w:r w:rsidRPr="3FA070B9">
              <w:rPr>
                <w:rFonts w:ascii="Arial" w:eastAsia="Arial" w:hAnsi="Arial" w:cs="Arial"/>
                <w:color w:val="000000" w:themeColor="text1"/>
                <w:sz w:val="24"/>
                <w:szCs w:val="24"/>
              </w:rPr>
              <w:t xml:space="preserve">114 visits this year (Apr-Jun) compared to 864 for the same period last year, which is </w:t>
            </w:r>
            <w:proofErr w:type="gramStart"/>
            <w:r w:rsidRPr="3FA070B9">
              <w:rPr>
                <w:rFonts w:ascii="Arial" w:eastAsia="Arial" w:hAnsi="Arial" w:cs="Arial"/>
                <w:color w:val="000000" w:themeColor="text1"/>
                <w:sz w:val="24"/>
                <w:szCs w:val="24"/>
              </w:rPr>
              <w:t>actually a</w:t>
            </w:r>
            <w:proofErr w:type="gramEnd"/>
            <w:r w:rsidRPr="3FA070B9">
              <w:rPr>
                <w:rFonts w:ascii="Arial" w:eastAsia="Arial" w:hAnsi="Arial" w:cs="Arial"/>
                <w:color w:val="000000" w:themeColor="text1"/>
                <w:sz w:val="24"/>
                <w:szCs w:val="24"/>
              </w:rPr>
              <w:t xml:space="preserve"> 29% increase. This indicator is correctly showing as red.</w:t>
            </w:r>
          </w:p>
        </w:tc>
      </w:tr>
      <w:tr w:rsidR="00F545E4" w:rsidRPr="00BC0926" w14:paraId="5BF9E5AE" w14:textId="77777777" w:rsidTr="782A0F6C">
        <w:tc>
          <w:tcPr>
            <w:tcW w:w="4508" w:type="dxa"/>
          </w:tcPr>
          <w:p w14:paraId="1C37811D" w14:textId="6A7C8312" w:rsidR="00F545E4" w:rsidRPr="00BC0926" w:rsidRDefault="669F77BC" w:rsidP="00F545E4">
            <w:pPr>
              <w:pStyle w:val="ListParagraph"/>
              <w:numPr>
                <w:ilvl w:val="0"/>
                <w:numId w:val="7"/>
              </w:numPr>
              <w:textAlignment w:val="center"/>
              <w:rPr>
                <w:rFonts w:ascii="Arial" w:eastAsia="Times New Roman" w:hAnsi="Arial" w:cs="Arial"/>
                <w:sz w:val="24"/>
                <w:szCs w:val="24"/>
                <w:lang w:eastAsia="en-GB"/>
              </w:rPr>
            </w:pPr>
            <w:r w:rsidRPr="558A5991">
              <w:rPr>
                <w:rFonts w:ascii="Arial" w:eastAsia="Times New Roman" w:hAnsi="Arial" w:cs="Arial"/>
                <w:sz w:val="24"/>
                <w:szCs w:val="24"/>
                <w:lang w:eastAsia="en-GB"/>
              </w:rPr>
              <w:lastRenderedPageBreak/>
              <w:t>Paragraph 22</w:t>
            </w:r>
            <w:r w:rsidR="11FDE178" w:rsidRPr="558A5991">
              <w:rPr>
                <w:rFonts w:ascii="Arial" w:eastAsia="Times New Roman" w:hAnsi="Arial" w:cs="Arial"/>
                <w:sz w:val="24"/>
                <w:szCs w:val="24"/>
                <w:lang w:eastAsia="en-GB"/>
              </w:rPr>
              <w:t xml:space="preserve"> (final bullet point relating to the number of affordable homes completed in-year) – The Housing and Homelessness Panel requested at its meeting in July that the target be reframed to state </w:t>
            </w:r>
            <w:proofErr w:type="gramStart"/>
            <w:r w:rsidR="11FDE178" w:rsidRPr="558A5991">
              <w:rPr>
                <w:rFonts w:ascii="Arial" w:eastAsia="Times New Roman" w:hAnsi="Arial" w:cs="Arial"/>
                <w:sz w:val="24"/>
                <w:szCs w:val="24"/>
                <w:lang w:eastAsia="en-GB"/>
              </w:rPr>
              <w:t>whether or not</w:t>
            </w:r>
            <w:proofErr w:type="gramEnd"/>
            <w:r w:rsidR="11FDE178" w:rsidRPr="558A5991">
              <w:rPr>
                <w:rFonts w:ascii="Arial" w:eastAsia="Times New Roman" w:hAnsi="Arial" w:cs="Arial"/>
                <w:sz w:val="24"/>
                <w:szCs w:val="24"/>
                <w:lang w:eastAsia="en-GB"/>
              </w:rPr>
              <w:t xml:space="preserve"> the Council was on target, as there was a multi-year target set and arguably references to 'no target' aren't helpful. Please can this also be reflected in these reports?</w:t>
            </w:r>
          </w:p>
        </w:tc>
        <w:tc>
          <w:tcPr>
            <w:tcW w:w="4508" w:type="dxa"/>
          </w:tcPr>
          <w:p w14:paraId="533FCBC2" w14:textId="458D3092" w:rsidR="00F545E4" w:rsidRPr="00BC0926" w:rsidRDefault="42BAE6E6" w:rsidP="3FA070B9">
            <w:pPr>
              <w:rPr>
                <w:rFonts w:ascii="Arial" w:eastAsia="Arial" w:hAnsi="Arial" w:cs="Arial"/>
                <w:color w:val="000000" w:themeColor="text1"/>
                <w:sz w:val="24"/>
                <w:szCs w:val="24"/>
              </w:rPr>
            </w:pPr>
            <w:r w:rsidRPr="3FA070B9">
              <w:rPr>
                <w:rFonts w:ascii="Arial" w:eastAsia="Arial" w:hAnsi="Arial" w:cs="Arial"/>
                <w:color w:val="000000" w:themeColor="text1"/>
                <w:sz w:val="24"/>
                <w:szCs w:val="24"/>
              </w:rPr>
              <w:t xml:space="preserve">The corporate target for Affordable Housing Supply is monitored monthly and actively managed more regularly as ongoing work on the affordable housing supply programme. A four-year target is used, as this aligns with budget setting and the </w:t>
            </w:r>
            <w:proofErr w:type="gramStart"/>
            <w:r w:rsidRPr="3FA070B9">
              <w:rPr>
                <w:rFonts w:ascii="Arial" w:eastAsia="Arial" w:hAnsi="Arial" w:cs="Arial"/>
                <w:color w:val="000000" w:themeColor="text1"/>
                <w:sz w:val="24"/>
                <w:szCs w:val="24"/>
              </w:rPr>
              <w:t>Medium Term</w:t>
            </w:r>
            <w:proofErr w:type="gramEnd"/>
            <w:r w:rsidRPr="3FA070B9">
              <w:rPr>
                <w:rFonts w:ascii="Arial" w:eastAsia="Arial" w:hAnsi="Arial" w:cs="Arial"/>
                <w:color w:val="000000" w:themeColor="text1"/>
                <w:sz w:val="24"/>
                <w:szCs w:val="24"/>
              </w:rPr>
              <w:t xml:space="preserve"> Financial Plan.  The four-year period also reflects the fact that development is a process that spans numerous years from site identification, through feasibility and design, and into delivery and handover.  Historically, annual targets have not always been met, and schemes may have been delayed at an advanced stage, as slippage, say from March to April, will impact on the performance measure. To monitor this programme over a rolling four-year cycle is deemed more appropriate.</w:t>
            </w:r>
          </w:p>
          <w:p w14:paraId="10F0979A" w14:textId="453C2395" w:rsidR="00F545E4" w:rsidRPr="00BC0926" w:rsidRDefault="42BAE6E6" w:rsidP="3FA070B9">
            <w:pPr>
              <w:rPr>
                <w:rFonts w:ascii="Arial" w:eastAsia="Arial" w:hAnsi="Arial" w:cs="Arial"/>
                <w:color w:val="000000" w:themeColor="text1"/>
                <w:sz w:val="24"/>
                <w:szCs w:val="24"/>
              </w:rPr>
            </w:pPr>
            <w:r w:rsidRPr="3FA070B9">
              <w:rPr>
                <w:rFonts w:ascii="Arial" w:eastAsia="Arial" w:hAnsi="Arial" w:cs="Arial"/>
                <w:color w:val="000000" w:themeColor="text1"/>
                <w:sz w:val="24"/>
                <w:szCs w:val="24"/>
              </w:rPr>
              <w:t>Actual completions are recorded against the target, and forecasting across the four years in terms of expected handovers is used to report against the target.</w:t>
            </w:r>
          </w:p>
          <w:p w14:paraId="1860FDEB" w14:textId="2DD9A313" w:rsidR="00F545E4" w:rsidRPr="00BC0926" w:rsidRDefault="42BAE6E6" w:rsidP="3FA070B9">
            <w:pPr>
              <w:rPr>
                <w:rFonts w:ascii="Arial" w:eastAsia="Arial" w:hAnsi="Arial" w:cs="Arial"/>
                <w:sz w:val="24"/>
                <w:szCs w:val="24"/>
              </w:rPr>
            </w:pPr>
            <w:r w:rsidRPr="3FA070B9">
              <w:rPr>
                <w:rFonts w:ascii="Arial" w:eastAsia="Arial" w:hAnsi="Arial" w:cs="Arial"/>
                <w:color w:val="000000" w:themeColor="text1"/>
                <w:sz w:val="24"/>
                <w:szCs w:val="24"/>
              </w:rPr>
              <w:t>As stated in para</w:t>
            </w:r>
            <w:r w:rsidR="2873EFE3" w:rsidRPr="3FA070B9">
              <w:rPr>
                <w:rFonts w:ascii="Arial" w:eastAsia="Arial" w:hAnsi="Arial" w:cs="Arial"/>
                <w:color w:val="000000" w:themeColor="text1"/>
                <w:sz w:val="24"/>
                <w:szCs w:val="24"/>
              </w:rPr>
              <w:t>graph</w:t>
            </w:r>
            <w:r w:rsidRPr="3FA070B9">
              <w:rPr>
                <w:rFonts w:ascii="Arial" w:eastAsia="Arial" w:hAnsi="Arial" w:cs="Arial"/>
                <w:color w:val="000000" w:themeColor="text1"/>
                <w:sz w:val="24"/>
                <w:szCs w:val="24"/>
              </w:rPr>
              <w:t xml:space="preserve"> 22 of the Integrated Performance Report, forecasts suggest that the delivery programme is current</w:t>
            </w:r>
            <w:r w:rsidR="1D79B3FE" w:rsidRPr="3FA070B9">
              <w:rPr>
                <w:rFonts w:ascii="Arial" w:eastAsia="Arial" w:hAnsi="Arial" w:cs="Arial"/>
                <w:color w:val="000000" w:themeColor="text1"/>
                <w:sz w:val="24"/>
                <w:szCs w:val="24"/>
              </w:rPr>
              <w:t>ly</w:t>
            </w:r>
            <w:r w:rsidRPr="3FA070B9">
              <w:rPr>
                <w:rFonts w:ascii="Arial" w:eastAsia="Arial" w:hAnsi="Arial" w:cs="Arial"/>
                <w:color w:val="000000" w:themeColor="text1"/>
                <w:sz w:val="24"/>
                <w:szCs w:val="24"/>
              </w:rPr>
              <w:t xml:space="preserve"> forecasting the delivery of 1,549 affordable homes against the 1,600 </w:t>
            </w:r>
            <w:proofErr w:type="gramStart"/>
            <w:r w:rsidRPr="3FA070B9">
              <w:rPr>
                <w:rFonts w:ascii="Arial" w:eastAsia="Arial" w:hAnsi="Arial" w:cs="Arial"/>
                <w:color w:val="000000" w:themeColor="text1"/>
                <w:sz w:val="24"/>
                <w:szCs w:val="24"/>
              </w:rPr>
              <w:t>target</w:t>
            </w:r>
            <w:proofErr w:type="gramEnd"/>
            <w:r w:rsidRPr="3FA070B9">
              <w:rPr>
                <w:rFonts w:ascii="Arial" w:eastAsia="Arial" w:hAnsi="Arial" w:cs="Arial"/>
                <w:color w:val="000000" w:themeColor="text1"/>
                <w:sz w:val="24"/>
                <w:szCs w:val="24"/>
              </w:rPr>
              <w:t xml:space="preserve">, so 51 homes (3%) under target at present. This is primarily due to schemes being forecast </w:t>
            </w:r>
            <w:r w:rsidRPr="3FA070B9">
              <w:rPr>
                <w:rFonts w:ascii="Arial" w:eastAsia="Arial" w:hAnsi="Arial" w:cs="Arial"/>
                <w:color w:val="000000" w:themeColor="text1"/>
                <w:sz w:val="24"/>
                <w:szCs w:val="24"/>
              </w:rPr>
              <w:lastRenderedPageBreak/>
              <w:t>to now compete beyond the 4</w:t>
            </w:r>
            <w:r w:rsidRPr="3FA070B9">
              <w:rPr>
                <w:rFonts w:ascii="Arial" w:eastAsia="Arial" w:hAnsi="Arial" w:cs="Arial"/>
                <w:color w:val="000000" w:themeColor="text1"/>
                <w:sz w:val="24"/>
                <w:szCs w:val="24"/>
                <w:vertAlign w:val="superscript"/>
              </w:rPr>
              <w:t>th</w:t>
            </w:r>
            <w:r w:rsidRPr="3FA070B9">
              <w:rPr>
                <w:rFonts w:ascii="Arial" w:eastAsia="Arial" w:hAnsi="Arial" w:cs="Arial"/>
                <w:color w:val="000000" w:themeColor="text1"/>
                <w:sz w:val="24"/>
                <w:szCs w:val="24"/>
              </w:rPr>
              <w:t xml:space="preserve"> year of the programme (so after March 2027).</w:t>
            </w:r>
          </w:p>
        </w:tc>
      </w:tr>
    </w:tbl>
    <w:p w14:paraId="30FACA49" w14:textId="48825A9F" w:rsidR="00F93601" w:rsidRPr="00BC0926" w:rsidRDefault="00F93601">
      <w:pPr>
        <w:rPr>
          <w:rFonts w:ascii="Arial" w:hAnsi="Arial" w:cs="Arial"/>
          <w:b/>
          <w:bCs/>
          <w:sz w:val="24"/>
          <w:szCs w:val="24"/>
        </w:rPr>
      </w:pPr>
    </w:p>
    <w:p w14:paraId="4BDB64D8" w14:textId="3AB89F91" w:rsidR="001C1B9B" w:rsidRPr="00BC0926" w:rsidRDefault="001C1B9B">
      <w:pPr>
        <w:rPr>
          <w:rFonts w:ascii="Arial" w:hAnsi="Arial" w:cs="Arial"/>
          <w:b/>
          <w:bCs/>
          <w:sz w:val="24"/>
          <w:szCs w:val="24"/>
        </w:rPr>
      </w:pPr>
    </w:p>
    <w:sectPr w:rsidR="001C1B9B" w:rsidRPr="00BC09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4E8E"/>
    <w:multiLevelType w:val="hybridMultilevel"/>
    <w:tmpl w:val="3F74C8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02D0A79"/>
    <w:multiLevelType w:val="hybridMultilevel"/>
    <w:tmpl w:val="E050DB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BD3A76"/>
    <w:multiLevelType w:val="hybridMultilevel"/>
    <w:tmpl w:val="68F886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0E15C0"/>
    <w:multiLevelType w:val="hybridMultilevel"/>
    <w:tmpl w:val="018484FC"/>
    <w:lvl w:ilvl="0" w:tplc="3E7A5158">
      <w:start w:val="1"/>
      <w:numFmt w:val="lowerLetter"/>
      <w:lvlText w:val="%1."/>
      <w:lvlJc w:val="left"/>
      <w:pPr>
        <w:ind w:left="720" w:hanging="360"/>
      </w:pPr>
    </w:lvl>
    <w:lvl w:ilvl="1" w:tplc="FBB29BC6">
      <w:start w:val="1"/>
      <w:numFmt w:val="lowerLetter"/>
      <w:lvlText w:val="%2."/>
      <w:lvlJc w:val="left"/>
      <w:pPr>
        <w:ind w:left="1440" w:hanging="360"/>
      </w:pPr>
    </w:lvl>
    <w:lvl w:ilvl="2" w:tplc="8DAC74A2">
      <w:start w:val="1"/>
      <w:numFmt w:val="lowerRoman"/>
      <w:lvlText w:val="%3."/>
      <w:lvlJc w:val="right"/>
      <w:pPr>
        <w:ind w:left="2160" w:hanging="180"/>
      </w:pPr>
    </w:lvl>
    <w:lvl w:ilvl="3" w:tplc="E18C613A">
      <w:start w:val="1"/>
      <w:numFmt w:val="decimal"/>
      <w:lvlText w:val="%4."/>
      <w:lvlJc w:val="left"/>
      <w:pPr>
        <w:ind w:left="2880" w:hanging="360"/>
      </w:pPr>
    </w:lvl>
    <w:lvl w:ilvl="4" w:tplc="5CFCA8C4">
      <w:start w:val="1"/>
      <w:numFmt w:val="lowerLetter"/>
      <w:lvlText w:val="%5."/>
      <w:lvlJc w:val="left"/>
      <w:pPr>
        <w:ind w:left="3600" w:hanging="360"/>
      </w:pPr>
    </w:lvl>
    <w:lvl w:ilvl="5" w:tplc="D052618C">
      <w:start w:val="1"/>
      <w:numFmt w:val="lowerRoman"/>
      <w:lvlText w:val="%6."/>
      <w:lvlJc w:val="right"/>
      <w:pPr>
        <w:ind w:left="4320" w:hanging="180"/>
      </w:pPr>
    </w:lvl>
    <w:lvl w:ilvl="6" w:tplc="A986264C">
      <w:start w:val="1"/>
      <w:numFmt w:val="decimal"/>
      <w:lvlText w:val="%7."/>
      <w:lvlJc w:val="left"/>
      <w:pPr>
        <w:ind w:left="5040" w:hanging="360"/>
      </w:pPr>
    </w:lvl>
    <w:lvl w:ilvl="7" w:tplc="8AE2640E">
      <w:start w:val="1"/>
      <w:numFmt w:val="lowerLetter"/>
      <w:lvlText w:val="%8."/>
      <w:lvlJc w:val="left"/>
      <w:pPr>
        <w:ind w:left="5760" w:hanging="360"/>
      </w:pPr>
    </w:lvl>
    <w:lvl w:ilvl="8" w:tplc="C1E85EC0">
      <w:start w:val="1"/>
      <w:numFmt w:val="lowerRoman"/>
      <w:lvlText w:val="%9."/>
      <w:lvlJc w:val="right"/>
      <w:pPr>
        <w:ind w:left="6480" w:hanging="180"/>
      </w:pPr>
    </w:lvl>
  </w:abstractNum>
  <w:abstractNum w:abstractNumId="4" w15:restartNumberingAfterBreak="0">
    <w:nsid w:val="2DBD5DEE"/>
    <w:multiLevelType w:val="hybridMultilevel"/>
    <w:tmpl w:val="BEAEB1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AB624E"/>
    <w:multiLevelType w:val="multilevel"/>
    <w:tmpl w:val="39445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545B4D"/>
    <w:multiLevelType w:val="hybridMultilevel"/>
    <w:tmpl w:val="125E16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7A6522"/>
    <w:multiLevelType w:val="hybridMultilevel"/>
    <w:tmpl w:val="8C0AEFD0"/>
    <w:lvl w:ilvl="0" w:tplc="B7282212">
      <w:start w:val="1"/>
      <w:numFmt w:val="upperLetter"/>
      <w:lvlText w:val="%1)"/>
      <w:lvlJc w:val="left"/>
      <w:pPr>
        <w:ind w:left="720" w:hanging="360"/>
      </w:pPr>
    </w:lvl>
    <w:lvl w:ilvl="1" w:tplc="71B8300A">
      <w:start w:val="1"/>
      <w:numFmt w:val="lowerLetter"/>
      <w:lvlText w:val="%2."/>
      <w:lvlJc w:val="left"/>
      <w:pPr>
        <w:ind w:left="1440" w:hanging="360"/>
      </w:pPr>
    </w:lvl>
    <w:lvl w:ilvl="2" w:tplc="419C5E90">
      <w:start w:val="1"/>
      <w:numFmt w:val="lowerRoman"/>
      <w:lvlText w:val="%3."/>
      <w:lvlJc w:val="right"/>
      <w:pPr>
        <w:ind w:left="2160" w:hanging="180"/>
      </w:pPr>
    </w:lvl>
    <w:lvl w:ilvl="3" w:tplc="241EFCA6">
      <w:start w:val="1"/>
      <w:numFmt w:val="decimal"/>
      <w:lvlText w:val="%4."/>
      <w:lvlJc w:val="left"/>
      <w:pPr>
        <w:ind w:left="2880" w:hanging="360"/>
      </w:pPr>
    </w:lvl>
    <w:lvl w:ilvl="4" w:tplc="37262CB0">
      <w:start w:val="1"/>
      <w:numFmt w:val="lowerLetter"/>
      <w:lvlText w:val="%5."/>
      <w:lvlJc w:val="left"/>
      <w:pPr>
        <w:ind w:left="3600" w:hanging="360"/>
      </w:pPr>
    </w:lvl>
    <w:lvl w:ilvl="5" w:tplc="C05054C0">
      <w:start w:val="1"/>
      <w:numFmt w:val="lowerRoman"/>
      <w:lvlText w:val="%6."/>
      <w:lvlJc w:val="right"/>
      <w:pPr>
        <w:ind w:left="4320" w:hanging="180"/>
      </w:pPr>
    </w:lvl>
    <w:lvl w:ilvl="6" w:tplc="CA70C2C8">
      <w:start w:val="1"/>
      <w:numFmt w:val="decimal"/>
      <w:lvlText w:val="%7."/>
      <w:lvlJc w:val="left"/>
      <w:pPr>
        <w:ind w:left="5040" w:hanging="360"/>
      </w:pPr>
    </w:lvl>
    <w:lvl w:ilvl="7" w:tplc="2BA4B61A">
      <w:start w:val="1"/>
      <w:numFmt w:val="lowerLetter"/>
      <w:lvlText w:val="%8."/>
      <w:lvlJc w:val="left"/>
      <w:pPr>
        <w:ind w:left="5760" w:hanging="360"/>
      </w:pPr>
    </w:lvl>
    <w:lvl w:ilvl="8" w:tplc="A4B06A68">
      <w:start w:val="1"/>
      <w:numFmt w:val="lowerRoman"/>
      <w:lvlText w:val="%9."/>
      <w:lvlJc w:val="right"/>
      <w:pPr>
        <w:ind w:left="6480" w:hanging="180"/>
      </w:pPr>
    </w:lvl>
  </w:abstractNum>
  <w:abstractNum w:abstractNumId="8" w15:restartNumberingAfterBreak="0">
    <w:nsid w:val="3C181881"/>
    <w:multiLevelType w:val="hybridMultilevel"/>
    <w:tmpl w:val="6B12F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3E37D5"/>
    <w:multiLevelType w:val="hybridMultilevel"/>
    <w:tmpl w:val="8FBC95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1D84926"/>
    <w:multiLevelType w:val="multilevel"/>
    <w:tmpl w:val="FB3A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7E47C3"/>
    <w:multiLevelType w:val="hybridMultilevel"/>
    <w:tmpl w:val="5DD646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342842"/>
    <w:multiLevelType w:val="hybridMultilevel"/>
    <w:tmpl w:val="CA06DBCA"/>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926154"/>
    <w:multiLevelType w:val="hybridMultilevel"/>
    <w:tmpl w:val="3216E6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6A9EFF"/>
    <w:multiLevelType w:val="hybridMultilevel"/>
    <w:tmpl w:val="58DC489C"/>
    <w:lvl w:ilvl="0" w:tplc="1CE85766">
      <w:start w:val="1"/>
      <w:numFmt w:val="lowerLetter"/>
      <w:lvlText w:val="%1)"/>
      <w:lvlJc w:val="left"/>
      <w:pPr>
        <w:ind w:left="720" w:hanging="360"/>
      </w:pPr>
    </w:lvl>
    <w:lvl w:ilvl="1" w:tplc="797AE292">
      <w:start w:val="1"/>
      <w:numFmt w:val="lowerLetter"/>
      <w:lvlText w:val="%2."/>
      <w:lvlJc w:val="left"/>
      <w:pPr>
        <w:ind w:left="1440" w:hanging="360"/>
      </w:pPr>
    </w:lvl>
    <w:lvl w:ilvl="2" w:tplc="908A9C4A">
      <w:start w:val="1"/>
      <w:numFmt w:val="lowerRoman"/>
      <w:lvlText w:val="%3."/>
      <w:lvlJc w:val="right"/>
      <w:pPr>
        <w:ind w:left="2160" w:hanging="180"/>
      </w:pPr>
    </w:lvl>
    <w:lvl w:ilvl="3" w:tplc="3D88FD0C">
      <w:start w:val="1"/>
      <w:numFmt w:val="decimal"/>
      <w:lvlText w:val="%4."/>
      <w:lvlJc w:val="left"/>
      <w:pPr>
        <w:ind w:left="2880" w:hanging="360"/>
      </w:pPr>
    </w:lvl>
    <w:lvl w:ilvl="4" w:tplc="4AD2C862">
      <w:start w:val="1"/>
      <w:numFmt w:val="lowerLetter"/>
      <w:lvlText w:val="%5."/>
      <w:lvlJc w:val="left"/>
      <w:pPr>
        <w:ind w:left="3600" w:hanging="360"/>
      </w:pPr>
    </w:lvl>
    <w:lvl w:ilvl="5" w:tplc="FF3C3E7E">
      <w:start w:val="1"/>
      <w:numFmt w:val="lowerRoman"/>
      <w:lvlText w:val="%6."/>
      <w:lvlJc w:val="right"/>
      <w:pPr>
        <w:ind w:left="4320" w:hanging="180"/>
      </w:pPr>
    </w:lvl>
    <w:lvl w:ilvl="6" w:tplc="FD449E00">
      <w:start w:val="1"/>
      <w:numFmt w:val="decimal"/>
      <w:lvlText w:val="%7."/>
      <w:lvlJc w:val="left"/>
      <w:pPr>
        <w:ind w:left="5040" w:hanging="360"/>
      </w:pPr>
    </w:lvl>
    <w:lvl w:ilvl="7" w:tplc="F83A6CBE">
      <w:start w:val="1"/>
      <w:numFmt w:val="lowerLetter"/>
      <w:lvlText w:val="%8."/>
      <w:lvlJc w:val="left"/>
      <w:pPr>
        <w:ind w:left="5760" w:hanging="360"/>
      </w:pPr>
    </w:lvl>
    <w:lvl w:ilvl="8" w:tplc="21B0B3C4">
      <w:start w:val="1"/>
      <w:numFmt w:val="lowerRoman"/>
      <w:lvlText w:val="%9."/>
      <w:lvlJc w:val="right"/>
      <w:pPr>
        <w:ind w:left="6480" w:hanging="180"/>
      </w:pPr>
    </w:lvl>
  </w:abstractNum>
  <w:abstractNum w:abstractNumId="15" w15:restartNumberingAfterBreak="0">
    <w:nsid w:val="713B78C3"/>
    <w:multiLevelType w:val="hybridMultilevel"/>
    <w:tmpl w:val="50C4E980"/>
    <w:lvl w:ilvl="0" w:tplc="64E8B59E">
      <w:start w:val="1"/>
      <w:numFmt w:val="lowerLetter"/>
      <w:lvlText w:val="%1."/>
      <w:lvlJc w:val="left"/>
      <w:pPr>
        <w:ind w:left="720" w:hanging="360"/>
      </w:pPr>
      <w:rPr>
        <w:rFonts w:ascii="Arial" w:eastAsiaTheme="minorHAnsi" w:hAnsi="Arial" w:cs="Arial"/>
      </w:rPr>
    </w:lvl>
    <w:lvl w:ilvl="1" w:tplc="583C65A4">
      <w:start w:val="1"/>
      <w:numFmt w:val="lowerLetter"/>
      <w:lvlText w:val="%2."/>
      <w:lvlJc w:val="left"/>
      <w:pPr>
        <w:ind w:left="1440" w:hanging="360"/>
      </w:pPr>
    </w:lvl>
    <w:lvl w:ilvl="2" w:tplc="E1540DBE">
      <w:start w:val="1"/>
      <w:numFmt w:val="lowerRoman"/>
      <w:lvlText w:val="%3."/>
      <w:lvlJc w:val="right"/>
      <w:pPr>
        <w:ind w:left="2160" w:hanging="180"/>
      </w:pPr>
    </w:lvl>
    <w:lvl w:ilvl="3" w:tplc="9AFEA68A">
      <w:start w:val="1"/>
      <w:numFmt w:val="decimal"/>
      <w:lvlText w:val="%4."/>
      <w:lvlJc w:val="left"/>
      <w:pPr>
        <w:ind w:left="2880" w:hanging="360"/>
      </w:pPr>
    </w:lvl>
    <w:lvl w:ilvl="4" w:tplc="66543ECE">
      <w:start w:val="1"/>
      <w:numFmt w:val="lowerLetter"/>
      <w:lvlText w:val="%5."/>
      <w:lvlJc w:val="left"/>
      <w:pPr>
        <w:ind w:left="3600" w:hanging="360"/>
      </w:pPr>
    </w:lvl>
    <w:lvl w:ilvl="5" w:tplc="CE82E09A">
      <w:start w:val="1"/>
      <w:numFmt w:val="lowerRoman"/>
      <w:lvlText w:val="%6."/>
      <w:lvlJc w:val="right"/>
      <w:pPr>
        <w:ind w:left="4320" w:hanging="180"/>
      </w:pPr>
    </w:lvl>
    <w:lvl w:ilvl="6" w:tplc="0E80C994">
      <w:start w:val="1"/>
      <w:numFmt w:val="decimal"/>
      <w:lvlText w:val="%7."/>
      <w:lvlJc w:val="left"/>
      <w:pPr>
        <w:ind w:left="5040" w:hanging="360"/>
      </w:pPr>
    </w:lvl>
    <w:lvl w:ilvl="7" w:tplc="EE3E7EDA">
      <w:start w:val="1"/>
      <w:numFmt w:val="lowerLetter"/>
      <w:lvlText w:val="%8."/>
      <w:lvlJc w:val="left"/>
      <w:pPr>
        <w:ind w:left="5760" w:hanging="360"/>
      </w:pPr>
    </w:lvl>
    <w:lvl w:ilvl="8" w:tplc="05C23132">
      <w:start w:val="1"/>
      <w:numFmt w:val="lowerRoman"/>
      <w:lvlText w:val="%9."/>
      <w:lvlJc w:val="right"/>
      <w:pPr>
        <w:ind w:left="6480" w:hanging="180"/>
      </w:pPr>
    </w:lvl>
  </w:abstractNum>
  <w:abstractNum w:abstractNumId="16" w15:restartNumberingAfterBreak="0">
    <w:nsid w:val="72174EDE"/>
    <w:multiLevelType w:val="hybridMultilevel"/>
    <w:tmpl w:val="7C6A8626"/>
    <w:lvl w:ilvl="0" w:tplc="FD847566">
      <w:start w:val="1"/>
      <w:numFmt w:val="bullet"/>
      <w:lvlText w:val=""/>
      <w:lvlJc w:val="left"/>
      <w:pPr>
        <w:ind w:left="720" w:hanging="360"/>
      </w:pPr>
      <w:rPr>
        <w:rFonts w:ascii="Symbol" w:hAnsi="Symbol" w:hint="default"/>
      </w:rPr>
    </w:lvl>
    <w:lvl w:ilvl="1" w:tplc="4DB45730">
      <w:start w:val="1"/>
      <w:numFmt w:val="bullet"/>
      <w:lvlText w:val="o"/>
      <w:lvlJc w:val="left"/>
      <w:pPr>
        <w:ind w:left="1440" w:hanging="360"/>
      </w:pPr>
      <w:rPr>
        <w:rFonts w:ascii="Courier New" w:hAnsi="Courier New" w:hint="default"/>
      </w:rPr>
    </w:lvl>
    <w:lvl w:ilvl="2" w:tplc="426EFACE">
      <w:start w:val="1"/>
      <w:numFmt w:val="bullet"/>
      <w:lvlText w:val=""/>
      <w:lvlJc w:val="left"/>
      <w:pPr>
        <w:ind w:left="2160" w:hanging="360"/>
      </w:pPr>
      <w:rPr>
        <w:rFonts w:ascii="Wingdings" w:hAnsi="Wingdings" w:hint="default"/>
      </w:rPr>
    </w:lvl>
    <w:lvl w:ilvl="3" w:tplc="78D4D816">
      <w:start w:val="1"/>
      <w:numFmt w:val="bullet"/>
      <w:lvlText w:val=""/>
      <w:lvlJc w:val="left"/>
      <w:pPr>
        <w:ind w:left="2880" w:hanging="360"/>
      </w:pPr>
      <w:rPr>
        <w:rFonts w:ascii="Symbol" w:hAnsi="Symbol" w:hint="default"/>
      </w:rPr>
    </w:lvl>
    <w:lvl w:ilvl="4" w:tplc="861A0CCC">
      <w:start w:val="1"/>
      <w:numFmt w:val="bullet"/>
      <w:lvlText w:val="o"/>
      <w:lvlJc w:val="left"/>
      <w:pPr>
        <w:ind w:left="3600" w:hanging="360"/>
      </w:pPr>
      <w:rPr>
        <w:rFonts w:ascii="Courier New" w:hAnsi="Courier New" w:hint="default"/>
      </w:rPr>
    </w:lvl>
    <w:lvl w:ilvl="5" w:tplc="571C57AC">
      <w:start w:val="1"/>
      <w:numFmt w:val="bullet"/>
      <w:lvlText w:val=""/>
      <w:lvlJc w:val="left"/>
      <w:pPr>
        <w:ind w:left="4320" w:hanging="360"/>
      </w:pPr>
      <w:rPr>
        <w:rFonts w:ascii="Wingdings" w:hAnsi="Wingdings" w:hint="default"/>
      </w:rPr>
    </w:lvl>
    <w:lvl w:ilvl="6" w:tplc="BC62AD08">
      <w:start w:val="1"/>
      <w:numFmt w:val="bullet"/>
      <w:lvlText w:val=""/>
      <w:lvlJc w:val="left"/>
      <w:pPr>
        <w:ind w:left="5040" w:hanging="360"/>
      </w:pPr>
      <w:rPr>
        <w:rFonts w:ascii="Symbol" w:hAnsi="Symbol" w:hint="default"/>
      </w:rPr>
    </w:lvl>
    <w:lvl w:ilvl="7" w:tplc="7D802A9E">
      <w:start w:val="1"/>
      <w:numFmt w:val="bullet"/>
      <w:lvlText w:val="o"/>
      <w:lvlJc w:val="left"/>
      <w:pPr>
        <w:ind w:left="5760" w:hanging="360"/>
      </w:pPr>
      <w:rPr>
        <w:rFonts w:ascii="Courier New" w:hAnsi="Courier New" w:hint="default"/>
      </w:rPr>
    </w:lvl>
    <w:lvl w:ilvl="8" w:tplc="34285886">
      <w:start w:val="1"/>
      <w:numFmt w:val="bullet"/>
      <w:lvlText w:val=""/>
      <w:lvlJc w:val="left"/>
      <w:pPr>
        <w:ind w:left="6480" w:hanging="360"/>
      </w:pPr>
      <w:rPr>
        <w:rFonts w:ascii="Wingdings" w:hAnsi="Wingdings" w:hint="default"/>
      </w:rPr>
    </w:lvl>
  </w:abstractNum>
  <w:abstractNum w:abstractNumId="17" w15:restartNumberingAfterBreak="0">
    <w:nsid w:val="780004F7"/>
    <w:multiLevelType w:val="hybridMultilevel"/>
    <w:tmpl w:val="063A4372"/>
    <w:lvl w:ilvl="0" w:tplc="FF728444">
      <w:start w:val="1"/>
      <w:numFmt w:val="lowerLetter"/>
      <w:lvlText w:val="%1."/>
      <w:lvlJc w:val="left"/>
      <w:pPr>
        <w:ind w:left="720" w:hanging="360"/>
      </w:pPr>
    </w:lvl>
    <w:lvl w:ilvl="1" w:tplc="93EEAD2C">
      <w:start w:val="1"/>
      <w:numFmt w:val="lowerLetter"/>
      <w:lvlText w:val="%2."/>
      <w:lvlJc w:val="left"/>
      <w:pPr>
        <w:ind w:left="1440" w:hanging="360"/>
      </w:pPr>
    </w:lvl>
    <w:lvl w:ilvl="2" w:tplc="E83CED36">
      <w:start w:val="1"/>
      <w:numFmt w:val="lowerRoman"/>
      <w:lvlText w:val="%3."/>
      <w:lvlJc w:val="right"/>
      <w:pPr>
        <w:ind w:left="2160" w:hanging="180"/>
      </w:pPr>
    </w:lvl>
    <w:lvl w:ilvl="3" w:tplc="EC1C7C92">
      <w:start w:val="1"/>
      <w:numFmt w:val="decimal"/>
      <w:lvlText w:val="%4."/>
      <w:lvlJc w:val="left"/>
      <w:pPr>
        <w:ind w:left="2880" w:hanging="360"/>
      </w:pPr>
    </w:lvl>
    <w:lvl w:ilvl="4" w:tplc="94E46688">
      <w:start w:val="1"/>
      <w:numFmt w:val="lowerLetter"/>
      <w:lvlText w:val="%5."/>
      <w:lvlJc w:val="left"/>
      <w:pPr>
        <w:ind w:left="3600" w:hanging="360"/>
      </w:pPr>
    </w:lvl>
    <w:lvl w:ilvl="5" w:tplc="FD5C61A4">
      <w:start w:val="1"/>
      <w:numFmt w:val="lowerRoman"/>
      <w:lvlText w:val="%6."/>
      <w:lvlJc w:val="right"/>
      <w:pPr>
        <w:ind w:left="4320" w:hanging="180"/>
      </w:pPr>
    </w:lvl>
    <w:lvl w:ilvl="6" w:tplc="6C021372">
      <w:start w:val="1"/>
      <w:numFmt w:val="decimal"/>
      <w:lvlText w:val="%7."/>
      <w:lvlJc w:val="left"/>
      <w:pPr>
        <w:ind w:left="5040" w:hanging="360"/>
      </w:pPr>
    </w:lvl>
    <w:lvl w:ilvl="7" w:tplc="5CB6377E">
      <w:start w:val="1"/>
      <w:numFmt w:val="lowerLetter"/>
      <w:lvlText w:val="%8."/>
      <w:lvlJc w:val="left"/>
      <w:pPr>
        <w:ind w:left="5760" w:hanging="360"/>
      </w:pPr>
    </w:lvl>
    <w:lvl w:ilvl="8" w:tplc="379CB720">
      <w:start w:val="1"/>
      <w:numFmt w:val="lowerRoman"/>
      <w:lvlText w:val="%9."/>
      <w:lvlJc w:val="right"/>
      <w:pPr>
        <w:ind w:left="6480" w:hanging="180"/>
      </w:pPr>
    </w:lvl>
  </w:abstractNum>
  <w:abstractNum w:abstractNumId="18" w15:restartNumberingAfterBreak="0">
    <w:nsid w:val="7C0B1061"/>
    <w:multiLevelType w:val="hybridMultilevel"/>
    <w:tmpl w:val="9490F1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7420196">
    <w:abstractNumId w:val="16"/>
  </w:num>
  <w:num w:numId="2" w16cid:durableId="271061116">
    <w:abstractNumId w:val="17"/>
  </w:num>
  <w:num w:numId="3" w16cid:durableId="1582909925">
    <w:abstractNumId w:val="3"/>
  </w:num>
  <w:num w:numId="4" w16cid:durableId="1958944449">
    <w:abstractNumId w:val="14"/>
  </w:num>
  <w:num w:numId="5" w16cid:durableId="2094275717">
    <w:abstractNumId w:val="15"/>
  </w:num>
  <w:num w:numId="6" w16cid:durableId="269096221">
    <w:abstractNumId w:val="7"/>
  </w:num>
  <w:num w:numId="7" w16cid:durableId="2036730750">
    <w:abstractNumId w:val="0"/>
  </w:num>
  <w:num w:numId="8" w16cid:durableId="1098915602">
    <w:abstractNumId w:val="11"/>
  </w:num>
  <w:num w:numId="9" w16cid:durableId="396831199">
    <w:abstractNumId w:val="13"/>
  </w:num>
  <w:num w:numId="10" w16cid:durableId="446849218">
    <w:abstractNumId w:val="2"/>
  </w:num>
  <w:num w:numId="11" w16cid:durableId="1669678090">
    <w:abstractNumId w:val="6"/>
  </w:num>
  <w:num w:numId="12" w16cid:durableId="422457015">
    <w:abstractNumId w:val="1"/>
  </w:num>
  <w:num w:numId="13" w16cid:durableId="955256324">
    <w:abstractNumId w:val="4"/>
  </w:num>
  <w:num w:numId="14" w16cid:durableId="688261234">
    <w:abstractNumId w:val="8"/>
  </w:num>
  <w:num w:numId="15" w16cid:durableId="1727996329">
    <w:abstractNumId w:val="5"/>
  </w:num>
  <w:num w:numId="16" w16cid:durableId="457913275">
    <w:abstractNumId w:val="9"/>
  </w:num>
  <w:num w:numId="17" w16cid:durableId="1231694616">
    <w:abstractNumId w:val="10"/>
  </w:num>
  <w:num w:numId="18" w16cid:durableId="1775206093">
    <w:abstractNumId w:val="18"/>
  </w:num>
  <w:num w:numId="19" w16cid:durableId="12932491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601"/>
    <w:rsid w:val="00145A8F"/>
    <w:rsid w:val="001A6603"/>
    <w:rsid w:val="001C1B9B"/>
    <w:rsid w:val="001C73C3"/>
    <w:rsid w:val="002430C7"/>
    <w:rsid w:val="002A0333"/>
    <w:rsid w:val="003D6A92"/>
    <w:rsid w:val="0047740D"/>
    <w:rsid w:val="0065575A"/>
    <w:rsid w:val="00885BB5"/>
    <w:rsid w:val="009056CE"/>
    <w:rsid w:val="00A33FAA"/>
    <w:rsid w:val="00A82BC6"/>
    <w:rsid w:val="00B756D4"/>
    <w:rsid w:val="00BB728E"/>
    <w:rsid w:val="00BC0926"/>
    <w:rsid w:val="00C97718"/>
    <w:rsid w:val="00DA7BE9"/>
    <w:rsid w:val="00EC7905"/>
    <w:rsid w:val="00EE0597"/>
    <w:rsid w:val="00F545E4"/>
    <w:rsid w:val="00F67241"/>
    <w:rsid w:val="00F863EC"/>
    <w:rsid w:val="00F93601"/>
    <w:rsid w:val="00FF12B5"/>
    <w:rsid w:val="010E2AA7"/>
    <w:rsid w:val="016A35DB"/>
    <w:rsid w:val="016E0532"/>
    <w:rsid w:val="0205D32D"/>
    <w:rsid w:val="0231F0F3"/>
    <w:rsid w:val="0243A574"/>
    <w:rsid w:val="026E5EC4"/>
    <w:rsid w:val="02952A6B"/>
    <w:rsid w:val="02A53AAD"/>
    <w:rsid w:val="032E659F"/>
    <w:rsid w:val="033BE2CB"/>
    <w:rsid w:val="03EB7F3C"/>
    <w:rsid w:val="042F27D9"/>
    <w:rsid w:val="04A1D69D"/>
    <w:rsid w:val="04AABAA7"/>
    <w:rsid w:val="04E473EA"/>
    <w:rsid w:val="04E79EFE"/>
    <w:rsid w:val="04EB501C"/>
    <w:rsid w:val="05B38415"/>
    <w:rsid w:val="05F0E0DD"/>
    <w:rsid w:val="06102A8D"/>
    <w:rsid w:val="06AC6B79"/>
    <w:rsid w:val="06D94450"/>
    <w:rsid w:val="072889D1"/>
    <w:rsid w:val="072A5D04"/>
    <w:rsid w:val="07A47DA2"/>
    <w:rsid w:val="07B682C2"/>
    <w:rsid w:val="07BE0EC3"/>
    <w:rsid w:val="07D4D604"/>
    <w:rsid w:val="07D9775F"/>
    <w:rsid w:val="07F62B91"/>
    <w:rsid w:val="082B788A"/>
    <w:rsid w:val="087514B1"/>
    <w:rsid w:val="090F0E76"/>
    <w:rsid w:val="09250C85"/>
    <w:rsid w:val="09404E03"/>
    <w:rsid w:val="0995C116"/>
    <w:rsid w:val="09AE72C8"/>
    <w:rsid w:val="0A06D4BA"/>
    <w:rsid w:val="0A526604"/>
    <w:rsid w:val="0AA02745"/>
    <w:rsid w:val="0AE39BB0"/>
    <w:rsid w:val="0B251BA8"/>
    <w:rsid w:val="0B84CBF8"/>
    <w:rsid w:val="0BAD2F12"/>
    <w:rsid w:val="0C1D2E90"/>
    <w:rsid w:val="0C70717C"/>
    <w:rsid w:val="0C77EEC5"/>
    <w:rsid w:val="0C7F6C11"/>
    <w:rsid w:val="0C9C608A"/>
    <w:rsid w:val="0CDEA5DC"/>
    <w:rsid w:val="0D0EA4B6"/>
    <w:rsid w:val="0D0FED94"/>
    <w:rsid w:val="0D65C780"/>
    <w:rsid w:val="0DB396E6"/>
    <w:rsid w:val="0DE93E2F"/>
    <w:rsid w:val="0DFF2EF8"/>
    <w:rsid w:val="0E0AEFE2"/>
    <w:rsid w:val="0E13BF26"/>
    <w:rsid w:val="0E1B3C72"/>
    <w:rsid w:val="0E7B7D3F"/>
    <w:rsid w:val="0ED57C6F"/>
    <w:rsid w:val="0F991B85"/>
    <w:rsid w:val="104B8844"/>
    <w:rsid w:val="104FB4A3"/>
    <w:rsid w:val="106D6B1E"/>
    <w:rsid w:val="106F852D"/>
    <w:rsid w:val="10BE4FC5"/>
    <w:rsid w:val="10DBD80C"/>
    <w:rsid w:val="1147AD5C"/>
    <w:rsid w:val="118BB20C"/>
    <w:rsid w:val="11A2A6DC"/>
    <w:rsid w:val="11AE05DA"/>
    <w:rsid w:val="11FDE178"/>
    <w:rsid w:val="12189FE4"/>
    <w:rsid w:val="123C8618"/>
    <w:rsid w:val="1246A027"/>
    <w:rsid w:val="126E1850"/>
    <w:rsid w:val="12C2F06F"/>
    <w:rsid w:val="1305EA40"/>
    <w:rsid w:val="13176B64"/>
    <w:rsid w:val="1323A0BB"/>
    <w:rsid w:val="132793B1"/>
    <w:rsid w:val="136E3020"/>
    <w:rsid w:val="137F877D"/>
    <w:rsid w:val="1384ECD1"/>
    <w:rsid w:val="13C619B9"/>
    <w:rsid w:val="1441E7A9"/>
    <w:rsid w:val="14587FB3"/>
    <w:rsid w:val="147321CC"/>
    <w:rsid w:val="148D4B15"/>
    <w:rsid w:val="14BDD687"/>
    <w:rsid w:val="14EE4D80"/>
    <w:rsid w:val="14F39050"/>
    <w:rsid w:val="155307A3"/>
    <w:rsid w:val="1561EA1A"/>
    <w:rsid w:val="1565188C"/>
    <w:rsid w:val="1567BC12"/>
    <w:rsid w:val="158BF401"/>
    <w:rsid w:val="15C410D6"/>
    <w:rsid w:val="15F2394D"/>
    <w:rsid w:val="16309E7E"/>
    <w:rsid w:val="16404FB2"/>
    <w:rsid w:val="165C1EE8"/>
    <w:rsid w:val="1668E981"/>
    <w:rsid w:val="16786768"/>
    <w:rsid w:val="16961BD6"/>
    <w:rsid w:val="16F81D46"/>
    <w:rsid w:val="17A85FDE"/>
    <w:rsid w:val="17AAC28E"/>
    <w:rsid w:val="17DC2013"/>
    <w:rsid w:val="17FB04D4"/>
    <w:rsid w:val="1804B9E2"/>
    <w:rsid w:val="1812268C"/>
    <w:rsid w:val="187B0CEE"/>
    <w:rsid w:val="1881D2DB"/>
    <w:rsid w:val="18B08EC0"/>
    <w:rsid w:val="18B130BF"/>
    <w:rsid w:val="18C0697F"/>
    <w:rsid w:val="19041B6B"/>
    <w:rsid w:val="192BF0D6"/>
    <w:rsid w:val="1932B370"/>
    <w:rsid w:val="1940B8A7"/>
    <w:rsid w:val="194B0945"/>
    <w:rsid w:val="197AFC18"/>
    <w:rsid w:val="19DB494E"/>
    <w:rsid w:val="19F51544"/>
    <w:rsid w:val="1A9663AB"/>
    <w:rsid w:val="1AE78CC9"/>
    <w:rsid w:val="1AFA2FB4"/>
    <w:rsid w:val="1B2F2971"/>
    <w:rsid w:val="1BCFC53E"/>
    <w:rsid w:val="1BEE7DCC"/>
    <w:rsid w:val="1BFA3626"/>
    <w:rsid w:val="1C5771CA"/>
    <w:rsid w:val="1CEE450B"/>
    <w:rsid w:val="1D2CB606"/>
    <w:rsid w:val="1D34020C"/>
    <w:rsid w:val="1D79B3FE"/>
    <w:rsid w:val="1D7AB245"/>
    <w:rsid w:val="1DBA5B14"/>
    <w:rsid w:val="1E0BD92B"/>
    <w:rsid w:val="1E30AB9B"/>
    <w:rsid w:val="1E7B0B33"/>
    <w:rsid w:val="1E7F955D"/>
    <w:rsid w:val="1E8AD32C"/>
    <w:rsid w:val="1EC88667"/>
    <w:rsid w:val="1EE51524"/>
    <w:rsid w:val="1EFE5743"/>
    <w:rsid w:val="1F14396F"/>
    <w:rsid w:val="1F5E18FB"/>
    <w:rsid w:val="1FC6238E"/>
    <w:rsid w:val="205A95E5"/>
    <w:rsid w:val="205BFA06"/>
    <w:rsid w:val="20A14739"/>
    <w:rsid w:val="20A7CB33"/>
    <w:rsid w:val="20F9E95C"/>
    <w:rsid w:val="20FCFA0F"/>
    <w:rsid w:val="2119C1AF"/>
    <w:rsid w:val="211DDA5E"/>
    <w:rsid w:val="21830259"/>
    <w:rsid w:val="21A51B0B"/>
    <w:rsid w:val="21E8D5D0"/>
    <w:rsid w:val="21EECE73"/>
    <w:rsid w:val="221C5FEF"/>
    <w:rsid w:val="224B7F8C"/>
    <w:rsid w:val="228DCC37"/>
    <w:rsid w:val="228E66C0"/>
    <w:rsid w:val="230FAD25"/>
    <w:rsid w:val="231ED2BA"/>
    <w:rsid w:val="232A31B0"/>
    <w:rsid w:val="24340A24"/>
    <w:rsid w:val="243FACC2"/>
    <w:rsid w:val="24B0733E"/>
    <w:rsid w:val="24CEA9C4"/>
    <w:rsid w:val="2537C7EB"/>
    <w:rsid w:val="259EEC87"/>
    <w:rsid w:val="25C56CF9"/>
    <w:rsid w:val="2672D107"/>
    <w:rsid w:val="26C154BF"/>
    <w:rsid w:val="2714B2DF"/>
    <w:rsid w:val="271BC645"/>
    <w:rsid w:val="275299A8"/>
    <w:rsid w:val="27692AE0"/>
    <w:rsid w:val="2784F7FD"/>
    <w:rsid w:val="278E4AD2"/>
    <w:rsid w:val="279CC497"/>
    <w:rsid w:val="27A3215A"/>
    <w:rsid w:val="27D79E3F"/>
    <w:rsid w:val="27F66699"/>
    <w:rsid w:val="28509F97"/>
    <w:rsid w:val="2873EFE3"/>
    <w:rsid w:val="29131DE5"/>
    <w:rsid w:val="291D5602"/>
    <w:rsid w:val="2953DD77"/>
    <w:rsid w:val="29B7763B"/>
    <w:rsid w:val="29BA36F7"/>
    <w:rsid w:val="2A1CAF36"/>
    <w:rsid w:val="2A2E665D"/>
    <w:rsid w:val="2A5C002F"/>
    <w:rsid w:val="2AB46221"/>
    <w:rsid w:val="2B2A2580"/>
    <w:rsid w:val="2B3B1C79"/>
    <w:rsid w:val="2BAE1006"/>
    <w:rsid w:val="2BF26B60"/>
    <w:rsid w:val="2C1111CD"/>
    <w:rsid w:val="2C3C9C03"/>
    <w:rsid w:val="2C8842AD"/>
    <w:rsid w:val="2CA5FEDC"/>
    <w:rsid w:val="2CFA041A"/>
    <w:rsid w:val="2CFE2A87"/>
    <w:rsid w:val="2D236EAA"/>
    <w:rsid w:val="2D309C90"/>
    <w:rsid w:val="2D49E067"/>
    <w:rsid w:val="2D6A97BE"/>
    <w:rsid w:val="2DA04F96"/>
    <w:rsid w:val="2E73808E"/>
    <w:rsid w:val="2E8857A8"/>
    <w:rsid w:val="2E9541C6"/>
    <w:rsid w:val="2EE5B0C8"/>
    <w:rsid w:val="2EEB04F1"/>
    <w:rsid w:val="2FBD40DE"/>
    <w:rsid w:val="308BF0BA"/>
    <w:rsid w:val="30B9E2FC"/>
    <w:rsid w:val="30C5DC83"/>
    <w:rsid w:val="3110080E"/>
    <w:rsid w:val="31568DC7"/>
    <w:rsid w:val="31A51F6F"/>
    <w:rsid w:val="326A2C52"/>
    <w:rsid w:val="32ABD86F"/>
    <w:rsid w:val="32E44640"/>
    <w:rsid w:val="332AC6A7"/>
    <w:rsid w:val="33655EF5"/>
    <w:rsid w:val="33B84AF2"/>
    <w:rsid w:val="33C6D723"/>
    <w:rsid w:val="341B9EF0"/>
    <w:rsid w:val="342C7868"/>
    <w:rsid w:val="3447ADE8"/>
    <w:rsid w:val="346E7108"/>
    <w:rsid w:val="347F27AB"/>
    <w:rsid w:val="34DE1EFA"/>
    <w:rsid w:val="3541C536"/>
    <w:rsid w:val="35692711"/>
    <w:rsid w:val="3590AB7F"/>
    <w:rsid w:val="359A7BDD"/>
    <w:rsid w:val="35A11DB7"/>
    <w:rsid w:val="35A59B8A"/>
    <w:rsid w:val="35E37931"/>
    <w:rsid w:val="36070DE0"/>
    <w:rsid w:val="3650A936"/>
    <w:rsid w:val="367A4130"/>
    <w:rsid w:val="36C733A4"/>
    <w:rsid w:val="37A5AAAD"/>
    <w:rsid w:val="37E889A2"/>
    <w:rsid w:val="3838745A"/>
    <w:rsid w:val="3851E452"/>
    <w:rsid w:val="3866EF1B"/>
    <w:rsid w:val="38C9711C"/>
    <w:rsid w:val="38CF535E"/>
    <w:rsid w:val="38DB8576"/>
    <w:rsid w:val="39A567AB"/>
    <w:rsid w:val="39DB34F1"/>
    <w:rsid w:val="39E7AA08"/>
    <w:rsid w:val="3A78DC41"/>
    <w:rsid w:val="3ACCFF96"/>
    <w:rsid w:val="3AE7B5FE"/>
    <w:rsid w:val="3AFCDB1D"/>
    <w:rsid w:val="3B35E972"/>
    <w:rsid w:val="3B49F3AD"/>
    <w:rsid w:val="3B87FFCC"/>
    <w:rsid w:val="3BB7B578"/>
    <w:rsid w:val="3BC3B78B"/>
    <w:rsid w:val="3BE26966"/>
    <w:rsid w:val="3C107322"/>
    <w:rsid w:val="3C2E48E3"/>
    <w:rsid w:val="3C717CEB"/>
    <w:rsid w:val="3CC902FF"/>
    <w:rsid w:val="3CD0CCEC"/>
    <w:rsid w:val="3D2D5A63"/>
    <w:rsid w:val="3D3A3484"/>
    <w:rsid w:val="3D931B26"/>
    <w:rsid w:val="3D9CE23F"/>
    <w:rsid w:val="3E5ACDBB"/>
    <w:rsid w:val="3E81946F"/>
    <w:rsid w:val="3EC2678B"/>
    <w:rsid w:val="3EE0FBF8"/>
    <w:rsid w:val="3EEE4AB6"/>
    <w:rsid w:val="3EEFE630"/>
    <w:rsid w:val="3F38B2A0"/>
    <w:rsid w:val="3FA070B9"/>
    <w:rsid w:val="4001CB24"/>
    <w:rsid w:val="40373BD0"/>
    <w:rsid w:val="40E0D25D"/>
    <w:rsid w:val="412E3546"/>
    <w:rsid w:val="41A61BCD"/>
    <w:rsid w:val="41B93531"/>
    <w:rsid w:val="421BA1D8"/>
    <w:rsid w:val="422A4DEF"/>
    <w:rsid w:val="42498FB0"/>
    <w:rsid w:val="42576082"/>
    <w:rsid w:val="42BAE6E6"/>
    <w:rsid w:val="42D7696D"/>
    <w:rsid w:val="435729FA"/>
    <w:rsid w:val="439C9BE7"/>
    <w:rsid w:val="43EF1685"/>
    <w:rsid w:val="44025CAA"/>
    <w:rsid w:val="441A604A"/>
    <w:rsid w:val="44755D60"/>
    <w:rsid w:val="44894C16"/>
    <w:rsid w:val="44BF6B45"/>
    <w:rsid w:val="44F8C379"/>
    <w:rsid w:val="44FF3567"/>
    <w:rsid w:val="450F8706"/>
    <w:rsid w:val="45405D6C"/>
    <w:rsid w:val="457857C5"/>
    <w:rsid w:val="45B06109"/>
    <w:rsid w:val="45CD646F"/>
    <w:rsid w:val="46260E9B"/>
    <w:rsid w:val="468DE452"/>
    <w:rsid w:val="470107DD"/>
    <w:rsid w:val="474A8D30"/>
    <w:rsid w:val="47B18EC1"/>
    <w:rsid w:val="481843DE"/>
    <w:rsid w:val="4825DC67"/>
    <w:rsid w:val="482BF3F2"/>
    <w:rsid w:val="4830643B"/>
    <w:rsid w:val="483D69BA"/>
    <w:rsid w:val="48E65D91"/>
    <w:rsid w:val="49092BAB"/>
    <w:rsid w:val="493C71F9"/>
    <w:rsid w:val="495407D1"/>
    <w:rsid w:val="495823D1"/>
    <w:rsid w:val="49CC485A"/>
    <w:rsid w:val="4A0BDD6B"/>
    <w:rsid w:val="4AF35222"/>
    <w:rsid w:val="4AF58251"/>
    <w:rsid w:val="4B7B9ED4"/>
    <w:rsid w:val="4BA6F3D0"/>
    <w:rsid w:val="4BD0621B"/>
    <w:rsid w:val="4BD38C54"/>
    <w:rsid w:val="4C0D6E8F"/>
    <w:rsid w:val="4C1F6D98"/>
    <w:rsid w:val="4CE6BC02"/>
    <w:rsid w:val="4CFC1BA7"/>
    <w:rsid w:val="4D06F2B4"/>
    <w:rsid w:val="4D13B4C4"/>
    <w:rsid w:val="4D75F960"/>
    <w:rsid w:val="4DDA4114"/>
    <w:rsid w:val="4E112877"/>
    <w:rsid w:val="4E7B17FC"/>
    <w:rsid w:val="4E97309B"/>
    <w:rsid w:val="4EFFE68C"/>
    <w:rsid w:val="4F05014C"/>
    <w:rsid w:val="4F3C76B8"/>
    <w:rsid w:val="4F450F51"/>
    <w:rsid w:val="4F59C2A5"/>
    <w:rsid w:val="4FEC928D"/>
    <w:rsid w:val="5030973D"/>
    <w:rsid w:val="504EE8B9"/>
    <w:rsid w:val="50912F19"/>
    <w:rsid w:val="51C188A9"/>
    <w:rsid w:val="520D8A34"/>
    <w:rsid w:val="5243FCC8"/>
    <w:rsid w:val="52C40490"/>
    <w:rsid w:val="52FD7184"/>
    <w:rsid w:val="53449667"/>
    <w:rsid w:val="53999754"/>
    <w:rsid w:val="53EF6534"/>
    <w:rsid w:val="5401946F"/>
    <w:rsid w:val="541605C9"/>
    <w:rsid w:val="547ADE8B"/>
    <w:rsid w:val="54A7C2A7"/>
    <w:rsid w:val="55010419"/>
    <w:rsid w:val="558A5991"/>
    <w:rsid w:val="55E61C71"/>
    <w:rsid w:val="580D3976"/>
    <w:rsid w:val="58468805"/>
    <w:rsid w:val="585A2449"/>
    <w:rsid w:val="5893FE42"/>
    <w:rsid w:val="595C6AB4"/>
    <w:rsid w:val="596E1088"/>
    <w:rsid w:val="59E25866"/>
    <w:rsid w:val="5A75E0E4"/>
    <w:rsid w:val="5AC01C63"/>
    <w:rsid w:val="5AD3777D"/>
    <w:rsid w:val="5B5A7896"/>
    <w:rsid w:val="5B759CCD"/>
    <w:rsid w:val="5BD76A02"/>
    <w:rsid w:val="5C09E02F"/>
    <w:rsid w:val="5C5C8203"/>
    <w:rsid w:val="5C8FF6CD"/>
    <w:rsid w:val="5C9086B3"/>
    <w:rsid w:val="5CA3DF75"/>
    <w:rsid w:val="5CF8152A"/>
    <w:rsid w:val="5D1CBACC"/>
    <w:rsid w:val="5D1DC0B9"/>
    <w:rsid w:val="5D2FB85D"/>
    <w:rsid w:val="5DE6DD78"/>
    <w:rsid w:val="5DEC8A8D"/>
    <w:rsid w:val="5DF85264"/>
    <w:rsid w:val="5E865966"/>
    <w:rsid w:val="5E97A912"/>
    <w:rsid w:val="5EC63322"/>
    <w:rsid w:val="5ED150E6"/>
    <w:rsid w:val="5ED9592A"/>
    <w:rsid w:val="5EE0ABAC"/>
    <w:rsid w:val="5F6BFF9F"/>
    <w:rsid w:val="5F85DC4B"/>
    <w:rsid w:val="5FCBAC38"/>
    <w:rsid w:val="5FD00CEE"/>
    <w:rsid w:val="5FD7B163"/>
    <w:rsid w:val="5FE9354B"/>
    <w:rsid w:val="6050A933"/>
    <w:rsid w:val="605199EA"/>
    <w:rsid w:val="609B6975"/>
    <w:rsid w:val="60E457E9"/>
    <w:rsid w:val="6100004C"/>
    <w:rsid w:val="61144528"/>
    <w:rsid w:val="611872AD"/>
    <w:rsid w:val="613FCE57"/>
    <w:rsid w:val="61C9BA1A"/>
    <w:rsid w:val="6254ED69"/>
    <w:rsid w:val="62663F54"/>
    <w:rsid w:val="629AC163"/>
    <w:rsid w:val="62C804E1"/>
    <w:rsid w:val="63060A05"/>
    <w:rsid w:val="6306DED0"/>
    <w:rsid w:val="630F9B36"/>
    <w:rsid w:val="633DB629"/>
    <w:rsid w:val="633DF1D4"/>
    <w:rsid w:val="636756AE"/>
    <w:rsid w:val="639B82E2"/>
    <w:rsid w:val="63A1D3CF"/>
    <w:rsid w:val="63A4C209"/>
    <w:rsid w:val="63E0A74C"/>
    <w:rsid w:val="63EFF00F"/>
    <w:rsid w:val="640109FA"/>
    <w:rsid w:val="646AC7F3"/>
    <w:rsid w:val="646B6143"/>
    <w:rsid w:val="649529FE"/>
    <w:rsid w:val="649F1D5B"/>
    <w:rsid w:val="64A54AF7"/>
    <w:rsid w:val="64AB6B97"/>
    <w:rsid w:val="64C12458"/>
    <w:rsid w:val="64EC7631"/>
    <w:rsid w:val="657F8745"/>
    <w:rsid w:val="65844382"/>
    <w:rsid w:val="6592E04E"/>
    <w:rsid w:val="65BD146D"/>
    <w:rsid w:val="65E8FCB5"/>
    <w:rsid w:val="65FFA5A3"/>
    <w:rsid w:val="660731A4"/>
    <w:rsid w:val="66234BBC"/>
    <w:rsid w:val="663065E8"/>
    <w:rsid w:val="66555E9C"/>
    <w:rsid w:val="6665C3C4"/>
    <w:rsid w:val="669F77BC"/>
    <w:rsid w:val="66B73F97"/>
    <w:rsid w:val="6771D034"/>
    <w:rsid w:val="67E4EE16"/>
    <w:rsid w:val="68777F1D"/>
    <w:rsid w:val="68A320D8"/>
    <w:rsid w:val="68EB0334"/>
    <w:rsid w:val="6900E560"/>
    <w:rsid w:val="6905E6FA"/>
    <w:rsid w:val="691639BA"/>
    <w:rsid w:val="697EDCBA"/>
    <w:rsid w:val="69A99056"/>
    <w:rsid w:val="69E49D7D"/>
    <w:rsid w:val="69EC371A"/>
    <w:rsid w:val="6A428080"/>
    <w:rsid w:val="6A4D2914"/>
    <w:rsid w:val="6AA5D348"/>
    <w:rsid w:val="6AB9EE69"/>
    <w:rsid w:val="6ADAA2C7"/>
    <w:rsid w:val="6B23F68B"/>
    <w:rsid w:val="6B594036"/>
    <w:rsid w:val="6B752DA2"/>
    <w:rsid w:val="6BA3ADC2"/>
    <w:rsid w:val="6BFBABC1"/>
    <w:rsid w:val="6C1260CE"/>
    <w:rsid w:val="6C21CE97"/>
    <w:rsid w:val="6D84C9D6"/>
    <w:rsid w:val="6E455CAD"/>
    <w:rsid w:val="6E566E2D"/>
    <w:rsid w:val="6E668556"/>
    <w:rsid w:val="6EB7235B"/>
    <w:rsid w:val="6EB80EA0"/>
    <w:rsid w:val="6F062ED8"/>
    <w:rsid w:val="6F1DF519"/>
    <w:rsid w:val="6F209A37"/>
    <w:rsid w:val="6F38DBBE"/>
    <w:rsid w:val="6F8CEB44"/>
    <w:rsid w:val="6FD40B98"/>
    <w:rsid w:val="6FEE1E3E"/>
    <w:rsid w:val="70074183"/>
    <w:rsid w:val="700EE2D5"/>
    <w:rsid w:val="704A90B5"/>
    <w:rsid w:val="705E0EDE"/>
    <w:rsid w:val="70886F15"/>
    <w:rsid w:val="70A7505B"/>
    <w:rsid w:val="70CBF829"/>
    <w:rsid w:val="70F51974"/>
    <w:rsid w:val="711018FC"/>
    <w:rsid w:val="7130C021"/>
    <w:rsid w:val="714DCC18"/>
    <w:rsid w:val="71F5BD74"/>
    <w:rsid w:val="720EC9E2"/>
    <w:rsid w:val="7277040F"/>
    <w:rsid w:val="7277E7BE"/>
    <w:rsid w:val="7297BCD0"/>
    <w:rsid w:val="72B9E1FD"/>
    <w:rsid w:val="73206D09"/>
    <w:rsid w:val="73298DA1"/>
    <w:rsid w:val="734C8A5E"/>
    <w:rsid w:val="738B7FC3"/>
    <w:rsid w:val="7399B4B3"/>
    <w:rsid w:val="73F40B5A"/>
    <w:rsid w:val="745C5676"/>
    <w:rsid w:val="747F081C"/>
    <w:rsid w:val="74A816CE"/>
    <w:rsid w:val="74BEEAE4"/>
    <w:rsid w:val="756C654E"/>
    <w:rsid w:val="758FDBBB"/>
    <w:rsid w:val="7594F2F5"/>
    <w:rsid w:val="76113801"/>
    <w:rsid w:val="7615C96D"/>
    <w:rsid w:val="7615F29A"/>
    <w:rsid w:val="767627CE"/>
    <w:rsid w:val="7695D73F"/>
    <w:rsid w:val="76B217C4"/>
    <w:rsid w:val="76CD5062"/>
    <w:rsid w:val="771C38E0"/>
    <w:rsid w:val="776228AE"/>
    <w:rsid w:val="77753635"/>
    <w:rsid w:val="77C8DF20"/>
    <w:rsid w:val="782A0F6C"/>
    <w:rsid w:val="783584EB"/>
    <w:rsid w:val="785EF0E6"/>
    <w:rsid w:val="787FAA81"/>
    <w:rsid w:val="788FF30A"/>
    <w:rsid w:val="78CEC913"/>
    <w:rsid w:val="78E72942"/>
    <w:rsid w:val="7900C57B"/>
    <w:rsid w:val="790BC8B0"/>
    <w:rsid w:val="79116C9F"/>
    <w:rsid w:val="793441D2"/>
    <w:rsid w:val="79732C31"/>
    <w:rsid w:val="7A5E68BD"/>
    <w:rsid w:val="7A62AACE"/>
    <w:rsid w:val="7A938C1C"/>
    <w:rsid w:val="7AAC994C"/>
    <w:rsid w:val="7ACEB33A"/>
    <w:rsid w:val="7ACF6BEC"/>
    <w:rsid w:val="7ADF8BBA"/>
    <w:rsid w:val="7AFEAA76"/>
    <w:rsid w:val="7BFF1D3F"/>
    <w:rsid w:val="7C25EB64"/>
    <w:rsid w:val="7C2E9406"/>
    <w:rsid w:val="7C479BE6"/>
    <w:rsid w:val="7C629203"/>
    <w:rsid w:val="7CA553B1"/>
    <w:rsid w:val="7CE2B170"/>
    <w:rsid w:val="7D1ED259"/>
    <w:rsid w:val="7D30CF19"/>
    <w:rsid w:val="7DC4E2CF"/>
    <w:rsid w:val="7DD22617"/>
    <w:rsid w:val="7E02DE5B"/>
    <w:rsid w:val="7E172C7C"/>
    <w:rsid w:val="7E36B88D"/>
    <w:rsid w:val="7E7CEDCD"/>
    <w:rsid w:val="7EF1B5DA"/>
    <w:rsid w:val="7F36BE01"/>
    <w:rsid w:val="7F453679"/>
    <w:rsid w:val="7F51A555"/>
    <w:rsid w:val="7FA38356"/>
    <w:rsid w:val="7FC1A574"/>
    <w:rsid w:val="7FD80BD2"/>
    <w:rsid w:val="7FF46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B79F"/>
  <w15:chartTrackingRefBased/>
  <w15:docId w15:val="{261C8DC3-FD94-4298-89F5-B193C534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3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3601"/>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council.oxford.gov.uk/documents/s72979/Officer%20decision%20form%20-%20Cowley%20Branch%20Line%20Development%20Services%20Agreement.pdf" TargetMode="External"/><Relationship Id="rId5" Type="http://schemas.openxmlformats.org/officeDocument/2006/relationships/hyperlink" Target="https://mycouncil.oxford.gov.uk/ieDecisionDetails.aspx?ID=238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3515</Words>
  <Characters>20040</Characters>
  <Application>Microsoft Office Word</Application>
  <DocSecurity>0</DocSecurity>
  <Lines>167</Lines>
  <Paragraphs>47</Paragraphs>
  <ScaleCrop>false</ScaleCrop>
  <Company>Oxford City Council</Company>
  <LinksUpToDate>false</LinksUpToDate>
  <CharactersWithSpaces>23508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Alice</dc:creator>
  <cp:keywords/>
  <dc:description/>
  <cp:lastModifiedBy>COURTNEY Alice</cp:lastModifiedBy>
  <cp:revision>26</cp:revision>
  <dcterms:created xsi:type="dcterms:W3CDTF">2023-09-07T09:09:00Z</dcterms:created>
  <dcterms:modified xsi:type="dcterms:W3CDTF">2023-10-27T15:48:00Z</dcterms:modified>
</cp:coreProperties>
</file>